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2.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3.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4.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5.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104B91" w14:textId="77777777" w:rsidR="00247FC9" w:rsidRDefault="00247FC9" w:rsidP="00247FC9">
      <w:pPr>
        <w:rPr>
          <w:rFonts w:ascii="Arial" w:hAnsi="Arial" w:cs="Arial"/>
          <w:sz w:val="36"/>
          <w:szCs w:val="36"/>
        </w:rPr>
      </w:pPr>
    </w:p>
    <w:p w14:paraId="242FE520" w14:textId="77777777" w:rsidR="00247FC9" w:rsidRDefault="00247FC9" w:rsidP="00247FC9">
      <w:pPr>
        <w:rPr>
          <w:rFonts w:ascii="Arial" w:hAnsi="Arial" w:cs="Arial"/>
          <w:sz w:val="36"/>
          <w:szCs w:val="36"/>
        </w:rPr>
      </w:pPr>
    </w:p>
    <w:p w14:paraId="5C75D09E" w14:textId="77777777" w:rsidR="00247FC9" w:rsidRDefault="00247FC9" w:rsidP="00247FC9">
      <w:pPr>
        <w:rPr>
          <w:rFonts w:ascii="Arial" w:hAnsi="Arial" w:cs="Arial"/>
          <w:sz w:val="36"/>
          <w:szCs w:val="36"/>
        </w:rPr>
      </w:pPr>
    </w:p>
    <w:p w14:paraId="2ED12EFE" w14:textId="77777777" w:rsidR="00247FC9" w:rsidRDefault="00247FC9" w:rsidP="00247FC9">
      <w:pPr>
        <w:rPr>
          <w:rFonts w:ascii="Arial" w:hAnsi="Arial" w:cs="Arial"/>
          <w:sz w:val="36"/>
          <w:szCs w:val="36"/>
        </w:rPr>
      </w:pPr>
    </w:p>
    <w:p w14:paraId="2A0487D6" w14:textId="0972BDD7" w:rsidR="00247FC9" w:rsidRDefault="007D0631" w:rsidP="00247FC9">
      <w:pPr>
        <w:rPr>
          <w:rFonts w:ascii="Arial" w:hAnsi="Arial" w:cs="Arial"/>
          <w:sz w:val="36"/>
          <w:szCs w:val="36"/>
        </w:rPr>
      </w:pPr>
      <w:r>
        <w:rPr>
          <w:rFonts w:ascii="Arial" w:hAnsi="Arial" w:cs="Arial"/>
          <w:noProof/>
          <w:sz w:val="36"/>
          <w:szCs w:val="36"/>
        </w:rPr>
        <mc:AlternateContent>
          <mc:Choice Requires="wps">
            <w:drawing>
              <wp:anchor distT="0" distB="0" distL="114300" distR="114300" simplePos="0" relativeHeight="251659264" behindDoc="0" locked="0" layoutInCell="1" allowOverlap="1" wp14:anchorId="552EAB6B" wp14:editId="509F46FA">
                <wp:simplePos x="0" y="0"/>
                <wp:positionH relativeFrom="column">
                  <wp:posOffset>-171450</wp:posOffset>
                </wp:positionH>
                <wp:positionV relativeFrom="paragraph">
                  <wp:posOffset>225425</wp:posOffset>
                </wp:positionV>
                <wp:extent cx="9525" cy="2390775"/>
                <wp:effectExtent l="19050" t="22225" r="34925" b="3810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2390775"/>
                        </a:xfrm>
                        <a:prstGeom prst="line">
                          <a:avLst/>
                        </a:prstGeom>
                        <a:noFill/>
                        <a:ln w="31750">
                          <a:solidFill>
                            <a:srgbClr val="00B05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w14:anchorId="00BF860D" id="Straight Connector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5pt,17.75pt" to="-12.75pt,20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" strokecolor="#00b050" strokeweight="2.5pt"/>
            </w:pict>
          </mc:Fallback>
        </mc:AlternateContent>
      </w:r>
    </w:p>
    <w:p w14:paraId="0ADBF41D" w14:textId="6D3C1743" w:rsidR="00247FC9" w:rsidRPr="00247FC9" w:rsidRDefault="00247FC9" w:rsidP="00247FC9">
      <w:pPr>
        <w:rPr>
          <w:rFonts w:ascii="Arial" w:hAnsi="Arial" w:cs="Arial"/>
          <w:sz w:val="36"/>
          <w:szCs w:val="36"/>
        </w:rPr>
      </w:pPr>
      <w:r w:rsidRPr="00247FC9">
        <w:rPr>
          <w:rFonts w:ascii="Arial" w:hAnsi="Arial" w:cs="Arial"/>
          <w:sz w:val="36"/>
          <w:szCs w:val="36"/>
        </w:rPr>
        <w:t>UTAH STATE IMPLEMENTATION PLAN</w:t>
      </w:r>
    </w:p>
    <w:p w14:paraId="3330A812" w14:textId="3EA3BFBC" w:rsidR="00247FC9" w:rsidRPr="00247FC9" w:rsidRDefault="00247FC9" w:rsidP="00247FC9">
      <w:pPr>
        <w:rPr>
          <w:rFonts w:ascii="Arial" w:hAnsi="Arial" w:cs="Arial"/>
          <w:sz w:val="72"/>
          <w:szCs w:val="72"/>
        </w:rPr>
      </w:pPr>
      <w:r w:rsidRPr="00247FC9">
        <w:rPr>
          <w:rFonts w:ascii="Arial" w:hAnsi="Arial" w:cs="Arial"/>
          <w:sz w:val="72"/>
          <w:szCs w:val="72"/>
        </w:rPr>
        <w:t>PM</w:t>
      </w:r>
      <w:r w:rsidRPr="00247FC9">
        <w:rPr>
          <w:rFonts w:ascii="Arial" w:hAnsi="Arial" w:cs="Arial"/>
          <w:sz w:val="72"/>
          <w:szCs w:val="72"/>
          <w:vertAlign w:val="subscript"/>
        </w:rPr>
        <w:t xml:space="preserve">2.5 </w:t>
      </w:r>
      <w:r w:rsidRPr="00247FC9">
        <w:rPr>
          <w:rFonts w:ascii="Arial" w:hAnsi="Arial" w:cs="Arial"/>
          <w:sz w:val="72"/>
          <w:szCs w:val="72"/>
        </w:rPr>
        <w:t xml:space="preserve">Maintenance Provisions for </w:t>
      </w:r>
      <w:r w:rsidR="00E36107">
        <w:rPr>
          <w:rFonts w:ascii="Arial" w:hAnsi="Arial" w:cs="Arial"/>
          <w:sz w:val="72"/>
          <w:szCs w:val="72"/>
        </w:rPr>
        <w:t xml:space="preserve">the </w:t>
      </w:r>
      <w:r w:rsidR="00B74474">
        <w:rPr>
          <w:rFonts w:ascii="Arial" w:hAnsi="Arial" w:cs="Arial"/>
          <w:sz w:val="72"/>
          <w:szCs w:val="72"/>
        </w:rPr>
        <w:t>Provo</w:t>
      </w:r>
      <w:r w:rsidRPr="00247FC9">
        <w:rPr>
          <w:rFonts w:ascii="Arial" w:hAnsi="Arial" w:cs="Arial"/>
          <w:sz w:val="72"/>
          <w:szCs w:val="72"/>
        </w:rPr>
        <w:t>, UT</w:t>
      </w:r>
      <w:r w:rsidR="00E36107">
        <w:rPr>
          <w:rFonts w:ascii="Arial" w:hAnsi="Arial" w:cs="Arial"/>
          <w:sz w:val="72"/>
          <w:szCs w:val="72"/>
        </w:rPr>
        <w:t xml:space="preserve"> Nonattainment Area</w:t>
      </w:r>
    </w:p>
    <w:p w14:paraId="6CAC8278" w14:textId="111478A9" w:rsidR="00247FC9" w:rsidRPr="00247FC9" w:rsidRDefault="00247FC9">
      <w:pPr>
        <w:rPr>
          <w:rStyle w:val="BookTitle"/>
          <w:rFonts w:ascii="Arial" w:hAnsi="Arial" w:cs="Arial"/>
          <w:b w:val="0"/>
          <w:sz w:val="36"/>
          <w:szCs w:val="36"/>
        </w:rPr>
      </w:pPr>
      <w:r>
        <w:rPr>
          <w:rStyle w:val="BookTitle"/>
          <w:rFonts w:ascii="Arial" w:hAnsi="Arial" w:cs="Arial"/>
          <w:b w:val="0"/>
          <w:sz w:val="36"/>
          <w:szCs w:val="36"/>
        </w:rPr>
        <w:t>Section IX.A.</w:t>
      </w:r>
      <w:r w:rsidR="00B74474">
        <w:rPr>
          <w:rStyle w:val="BookTitle"/>
          <w:rFonts w:ascii="Arial" w:hAnsi="Arial" w:cs="Arial"/>
          <w:b w:val="0"/>
          <w:sz w:val="36"/>
          <w:szCs w:val="36"/>
        </w:rPr>
        <w:t>27</w:t>
      </w:r>
    </w:p>
    <w:p w14:paraId="31161DD2" w14:textId="77777777" w:rsidR="00247FC9" w:rsidRDefault="00247FC9">
      <w:pPr>
        <w:rPr>
          <w:rStyle w:val="BookTitle"/>
        </w:rPr>
      </w:pPr>
    </w:p>
    <w:p w14:paraId="5BA9D197" w14:textId="77777777" w:rsidR="00E66495" w:rsidRDefault="00E66495">
      <w:pPr>
        <w:rPr>
          <w:rStyle w:val="BookTitle"/>
        </w:rPr>
      </w:pPr>
    </w:p>
    <w:p w14:paraId="1CDA685F" w14:textId="77777777" w:rsidR="00C24A12" w:rsidRDefault="00C24A12">
      <w:pPr>
        <w:rPr>
          <w:rStyle w:val="BookTitle"/>
        </w:rPr>
      </w:pPr>
    </w:p>
    <w:p w14:paraId="01E2C82D" w14:textId="77777777" w:rsidR="00E66495" w:rsidRDefault="00E66495" w:rsidP="00E66495"/>
    <w:p w14:paraId="74261AA5" w14:textId="77777777" w:rsidR="00C24A12" w:rsidRDefault="00C24A12" w:rsidP="00E66495"/>
    <w:p w14:paraId="74D923E7" w14:textId="77777777" w:rsidR="00C24A12" w:rsidRDefault="00C24A12" w:rsidP="00E66495"/>
    <w:p w14:paraId="49433E58" w14:textId="77777777" w:rsidR="00C24A12" w:rsidRPr="00E66495" w:rsidRDefault="00C24A12" w:rsidP="00E66495"/>
    <w:p w14:paraId="33BB7F53" w14:textId="77777777" w:rsidR="00E66495" w:rsidRPr="00E66495" w:rsidRDefault="00C24A12" w:rsidP="00E66495">
      <w:r>
        <w:rPr>
          <w:noProof/>
        </w:rPr>
        <w:drawing>
          <wp:anchor distT="0" distB="0" distL="114300" distR="114300" simplePos="0" relativeHeight="251658240" behindDoc="0" locked="0" layoutInCell="1" allowOverlap="1" wp14:anchorId="7A730CB9" wp14:editId="2ABC01C8">
            <wp:simplePos x="0" y="0"/>
            <wp:positionH relativeFrom="column">
              <wp:align>left</wp:align>
            </wp:positionH>
            <wp:positionV relativeFrom="paragraph">
              <wp:align>top</wp:align>
            </wp:positionV>
            <wp:extent cx="2904490" cy="101790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1-inch-aq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4490" cy="1017905"/>
                    </a:xfrm>
                    <a:prstGeom prst="rect">
                      <a:avLst/>
                    </a:prstGeom>
                  </pic:spPr>
                </pic:pic>
              </a:graphicData>
            </a:graphic>
          </wp:anchor>
        </w:drawing>
      </w:r>
    </w:p>
    <w:p w14:paraId="3B106653" w14:textId="77777777" w:rsidR="00C24A12" w:rsidRPr="00C24A12" w:rsidRDefault="00C24A12" w:rsidP="00C24A12">
      <w:pPr>
        <w:spacing w:after="120"/>
        <w:sectPr w:rsidR="00C24A12" w:rsidRPr="00C24A12" w:rsidSect="00944A74">
          <w:headerReference w:type="default" r:id="rId10"/>
          <w:footerReference w:type="default" r:id="rId11"/>
          <w:pgSz w:w="12240" w:h="15840"/>
          <w:pgMar w:top="1440" w:right="1080" w:bottom="1440" w:left="1800" w:header="720" w:footer="720" w:gutter="0"/>
          <w:pgNumType w:fmt="lowerRoman" w:start="0"/>
          <w:cols w:space="720"/>
          <w:titlePg/>
          <w:docGrid w:linePitch="360"/>
        </w:sectPr>
      </w:pPr>
    </w:p>
    <w:sdt>
      <w:sdtPr>
        <w:rPr>
          <w:rFonts w:ascii="Times New Roman" w:eastAsiaTheme="minorHAnsi" w:hAnsi="Times New Roman" w:cstheme="minorBidi"/>
          <w:b w:val="0"/>
          <w:bCs w:val="0"/>
          <w:color w:val="auto"/>
          <w:sz w:val="22"/>
          <w:szCs w:val="22"/>
          <w:lang w:eastAsia="en-US"/>
        </w:rPr>
        <w:id w:val="459081356"/>
        <w:docPartObj>
          <w:docPartGallery w:val="Table of Contents"/>
          <w:docPartUnique/>
        </w:docPartObj>
      </w:sdtPr>
      <w:sdtEndPr>
        <w:rPr>
          <w:noProof/>
        </w:rPr>
      </w:sdtEndPr>
      <w:sdtContent>
        <w:p w14:paraId="7F324974" w14:textId="77777777" w:rsidR="00A0535E" w:rsidRPr="0010518A" w:rsidRDefault="00A0535E">
          <w:pPr>
            <w:pStyle w:val="TOCHeading"/>
            <w:rPr>
              <w:color w:val="auto"/>
            </w:rPr>
          </w:pPr>
          <w:r w:rsidRPr="0010518A">
            <w:rPr>
              <w:rFonts w:ascii="Arial" w:hAnsi="Arial" w:cs="Arial"/>
              <w:color w:val="auto"/>
            </w:rPr>
            <w:t>Table of Contents</w:t>
          </w:r>
        </w:p>
        <w:p w14:paraId="17D955A1" w14:textId="612E3C26" w:rsidR="00BD4037" w:rsidRDefault="004B312A">
          <w:pPr>
            <w:pStyle w:val="TOC1"/>
            <w:tabs>
              <w:tab w:val="right" w:leader="dot" w:pos="9350"/>
            </w:tabs>
            <w:rPr>
              <w:rFonts w:asciiTheme="minorHAnsi" w:eastAsiaTheme="minorEastAsia" w:hAnsiTheme="minorHAnsi"/>
              <w:noProof/>
            </w:rPr>
          </w:pPr>
          <w:r>
            <w:fldChar w:fldCharType="begin"/>
          </w:r>
          <w:r w:rsidR="00FB0FDB">
            <w:instrText xml:space="preserve"> TOC \o "1-4" \h \z \u </w:instrText>
          </w:r>
          <w:r>
            <w:fldChar w:fldCharType="separate"/>
          </w:r>
          <w:hyperlink w:anchor="_Toc17201182" w:history="1">
            <w:r w:rsidR="00BD4037" w:rsidRPr="00B92C94">
              <w:rPr>
                <w:rStyle w:val="Hyperlink"/>
                <w:noProof/>
              </w:rPr>
              <w:t>IX.A.27.a Introduction</w:t>
            </w:r>
            <w:r w:rsidR="00BD4037">
              <w:rPr>
                <w:noProof/>
                <w:webHidden/>
              </w:rPr>
              <w:tab/>
            </w:r>
            <w:r w:rsidR="00BD4037">
              <w:rPr>
                <w:noProof/>
                <w:webHidden/>
              </w:rPr>
              <w:fldChar w:fldCharType="begin"/>
            </w:r>
            <w:r w:rsidR="00BD4037">
              <w:rPr>
                <w:noProof/>
                <w:webHidden/>
              </w:rPr>
              <w:instrText xml:space="preserve"> PAGEREF _Toc17201182 \h </w:instrText>
            </w:r>
            <w:r w:rsidR="00BD4037">
              <w:rPr>
                <w:noProof/>
                <w:webHidden/>
              </w:rPr>
            </w:r>
            <w:r w:rsidR="00BD4037">
              <w:rPr>
                <w:noProof/>
                <w:webHidden/>
              </w:rPr>
              <w:fldChar w:fldCharType="separate"/>
            </w:r>
            <w:r w:rsidR="00C012A9">
              <w:rPr>
                <w:noProof/>
                <w:webHidden/>
              </w:rPr>
              <w:t>1</w:t>
            </w:r>
            <w:r w:rsidR="00BD4037">
              <w:rPr>
                <w:noProof/>
                <w:webHidden/>
              </w:rPr>
              <w:fldChar w:fldCharType="end"/>
            </w:r>
          </w:hyperlink>
        </w:p>
        <w:p w14:paraId="07B6B6B1" w14:textId="00AD9638" w:rsidR="00BD4037" w:rsidRDefault="001564A9">
          <w:pPr>
            <w:pStyle w:val="TOC2"/>
            <w:tabs>
              <w:tab w:val="left" w:pos="660"/>
              <w:tab w:val="right" w:leader="dot" w:pos="9350"/>
            </w:tabs>
            <w:rPr>
              <w:rFonts w:asciiTheme="minorHAnsi" w:eastAsiaTheme="minorEastAsia" w:hAnsiTheme="minorHAnsi"/>
              <w:noProof/>
            </w:rPr>
          </w:pPr>
          <w:hyperlink w:anchor="_Toc17201183" w:history="1">
            <w:r w:rsidR="00BD4037" w:rsidRPr="00B92C94">
              <w:rPr>
                <w:rStyle w:val="Hyperlink"/>
                <w:noProof/>
              </w:rPr>
              <w:t>1)</w:t>
            </w:r>
            <w:r w:rsidR="00BD4037">
              <w:rPr>
                <w:rFonts w:asciiTheme="minorHAnsi" w:eastAsiaTheme="minorEastAsia" w:hAnsiTheme="minorHAnsi"/>
                <w:noProof/>
              </w:rPr>
              <w:tab/>
            </w:r>
            <w:r w:rsidR="00BD4037" w:rsidRPr="00B92C94">
              <w:rPr>
                <w:rStyle w:val="Hyperlink"/>
                <w:noProof/>
              </w:rPr>
              <w:t>Background</w:t>
            </w:r>
            <w:r w:rsidR="00BD4037">
              <w:rPr>
                <w:noProof/>
                <w:webHidden/>
              </w:rPr>
              <w:tab/>
            </w:r>
            <w:r w:rsidR="00BD4037">
              <w:rPr>
                <w:noProof/>
                <w:webHidden/>
              </w:rPr>
              <w:fldChar w:fldCharType="begin"/>
            </w:r>
            <w:r w:rsidR="00BD4037">
              <w:rPr>
                <w:noProof/>
                <w:webHidden/>
              </w:rPr>
              <w:instrText xml:space="preserve"> PAGEREF _Toc17201183 \h </w:instrText>
            </w:r>
            <w:r w:rsidR="00BD4037">
              <w:rPr>
                <w:noProof/>
                <w:webHidden/>
              </w:rPr>
            </w:r>
            <w:r w:rsidR="00BD4037">
              <w:rPr>
                <w:noProof/>
                <w:webHidden/>
              </w:rPr>
              <w:fldChar w:fldCharType="separate"/>
            </w:r>
            <w:r w:rsidR="00C012A9">
              <w:rPr>
                <w:noProof/>
                <w:webHidden/>
              </w:rPr>
              <w:t>1</w:t>
            </w:r>
            <w:r w:rsidR="00BD4037">
              <w:rPr>
                <w:noProof/>
                <w:webHidden/>
              </w:rPr>
              <w:fldChar w:fldCharType="end"/>
            </w:r>
          </w:hyperlink>
        </w:p>
        <w:p w14:paraId="078B566E" w14:textId="2BBE9CAE" w:rsidR="00BD4037" w:rsidRDefault="001564A9">
          <w:pPr>
            <w:pStyle w:val="TOC1"/>
            <w:tabs>
              <w:tab w:val="right" w:leader="dot" w:pos="9350"/>
            </w:tabs>
            <w:rPr>
              <w:rFonts w:asciiTheme="minorHAnsi" w:eastAsiaTheme="minorEastAsia" w:hAnsiTheme="minorHAnsi"/>
              <w:noProof/>
            </w:rPr>
          </w:pPr>
          <w:hyperlink w:anchor="_Toc17201184" w:history="1">
            <w:r w:rsidR="00BD4037" w:rsidRPr="00B92C94">
              <w:rPr>
                <w:rStyle w:val="Hyperlink"/>
                <w:noProof/>
              </w:rPr>
              <w:t>IX.A.27.b Redesignation Requirements</w:t>
            </w:r>
            <w:r w:rsidR="00BD4037">
              <w:rPr>
                <w:noProof/>
                <w:webHidden/>
              </w:rPr>
              <w:tab/>
            </w:r>
            <w:r w:rsidR="00BD4037">
              <w:rPr>
                <w:noProof/>
                <w:webHidden/>
              </w:rPr>
              <w:fldChar w:fldCharType="begin"/>
            </w:r>
            <w:r w:rsidR="00BD4037">
              <w:rPr>
                <w:noProof/>
                <w:webHidden/>
              </w:rPr>
              <w:instrText xml:space="preserve"> PAGEREF _Toc17201184 \h </w:instrText>
            </w:r>
            <w:r w:rsidR="00BD4037">
              <w:rPr>
                <w:noProof/>
                <w:webHidden/>
              </w:rPr>
            </w:r>
            <w:r w:rsidR="00BD4037">
              <w:rPr>
                <w:noProof/>
                <w:webHidden/>
              </w:rPr>
              <w:fldChar w:fldCharType="separate"/>
            </w:r>
            <w:r w:rsidR="00C012A9">
              <w:rPr>
                <w:noProof/>
                <w:webHidden/>
              </w:rPr>
              <w:t>2</w:t>
            </w:r>
            <w:r w:rsidR="00BD4037">
              <w:rPr>
                <w:noProof/>
                <w:webHidden/>
              </w:rPr>
              <w:fldChar w:fldCharType="end"/>
            </w:r>
          </w:hyperlink>
        </w:p>
        <w:p w14:paraId="077F814C" w14:textId="353C8912" w:rsidR="00BD4037" w:rsidRDefault="001564A9">
          <w:pPr>
            <w:pStyle w:val="TOC2"/>
            <w:tabs>
              <w:tab w:val="right" w:leader="dot" w:pos="9350"/>
            </w:tabs>
            <w:rPr>
              <w:rFonts w:asciiTheme="minorHAnsi" w:eastAsiaTheme="minorEastAsia" w:hAnsiTheme="minorHAnsi"/>
              <w:noProof/>
            </w:rPr>
          </w:pPr>
          <w:hyperlink w:anchor="_Toc17201185" w:history="1">
            <w:r w:rsidR="00BD4037" w:rsidRPr="00B92C94">
              <w:rPr>
                <w:rStyle w:val="Hyperlink"/>
                <w:noProof/>
              </w:rPr>
              <w:t>(1) The Area Has Attained the PM</w:t>
            </w:r>
            <w:r w:rsidR="00BD4037" w:rsidRPr="00B92C94">
              <w:rPr>
                <w:rStyle w:val="Hyperlink"/>
                <w:noProof/>
                <w:vertAlign w:val="subscript"/>
              </w:rPr>
              <w:t>2.5</w:t>
            </w:r>
            <w:r w:rsidR="00BD4037" w:rsidRPr="00B92C94">
              <w:rPr>
                <w:rStyle w:val="Hyperlink"/>
                <w:noProof/>
              </w:rPr>
              <w:t xml:space="preserve"> NAAQS</w:t>
            </w:r>
            <w:r w:rsidR="00BD4037">
              <w:rPr>
                <w:noProof/>
                <w:webHidden/>
              </w:rPr>
              <w:tab/>
            </w:r>
            <w:r w:rsidR="00BD4037">
              <w:rPr>
                <w:noProof/>
                <w:webHidden/>
              </w:rPr>
              <w:fldChar w:fldCharType="begin"/>
            </w:r>
            <w:r w:rsidR="00BD4037">
              <w:rPr>
                <w:noProof/>
                <w:webHidden/>
              </w:rPr>
              <w:instrText xml:space="preserve"> PAGEREF _Toc17201185 \h </w:instrText>
            </w:r>
            <w:r w:rsidR="00BD4037">
              <w:rPr>
                <w:noProof/>
                <w:webHidden/>
              </w:rPr>
            </w:r>
            <w:r w:rsidR="00BD4037">
              <w:rPr>
                <w:noProof/>
                <w:webHidden/>
              </w:rPr>
              <w:fldChar w:fldCharType="separate"/>
            </w:r>
            <w:r w:rsidR="00C012A9">
              <w:rPr>
                <w:noProof/>
                <w:webHidden/>
              </w:rPr>
              <w:t>3</w:t>
            </w:r>
            <w:r w:rsidR="00BD4037">
              <w:rPr>
                <w:noProof/>
                <w:webHidden/>
              </w:rPr>
              <w:fldChar w:fldCharType="end"/>
            </w:r>
          </w:hyperlink>
        </w:p>
        <w:p w14:paraId="418FF117" w14:textId="747A994B" w:rsidR="00BD4037" w:rsidRDefault="001564A9">
          <w:pPr>
            <w:pStyle w:val="TOC3"/>
            <w:tabs>
              <w:tab w:val="left" w:pos="880"/>
              <w:tab w:val="right" w:leader="dot" w:pos="9350"/>
            </w:tabs>
            <w:rPr>
              <w:rFonts w:asciiTheme="minorHAnsi" w:eastAsiaTheme="minorEastAsia" w:hAnsiTheme="minorHAnsi"/>
              <w:noProof/>
            </w:rPr>
          </w:pPr>
          <w:hyperlink w:anchor="_Toc17201186" w:history="1">
            <w:r w:rsidR="00BD4037" w:rsidRPr="00B92C94">
              <w:rPr>
                <w:rStyle w:val="Hyperlink"/>
                <w:noProof/>
              </w:rPr>
              <w:t>a)</w:t>
            </w:r>
            <w:r w:rsidR="00BD4037">
              <w:rPr>
                <w:rFonts w:asciiTheme="minorHAnsi" w:eastAsiaTheme="minorEastAsia" w:hAnsiTheme="minorHAnsi"/>
                <w:noProof/>
              </w:rPr>
              <w:tab/>
            </w:r>
            <w:r w:rsidR="00BD4037" w:rsidRPr="00B92C94">
              <w:rPr>
                <w:rStyle w:val="Hyperlink"/>
                <w:noProof/>
              </w:rPr>
              <w:t>Ambient Air Quality Data (Monitoring) and Utah’s Monitoring Network</w:t>
            </w:r>
            <w:r w:rsidR="00BD4037">
              <w:rPr>
                <w:noProof/>
                <w:webHidden/>
              </w:rPr>
              <w:tab/>
            </w:r>
            <w:r w:rsidR="00BD4037">
              <w:rPr>
                <w:noProof/>
                <w:webHidden/>
              </w:rPr>
              <w:fldChar w:fldCharType="begin"/>
            </w:r>
            <w:r w:rsidR="00BD4037">
              <w:rPr>
                <w:noProof/>
                <w:webHidden/>
              </w:rPr>
              <w:instrText xml:space="preserve"> PAGEREF _Toc17201186 \h </w:instrText>
            </w:r>
            <w:r w:rsidR="00BD4037">
              <w:rPr>
                <w:noProof/>
                <w:webHidden/>
              </w:rPr>
            </w:r>
            <w:r w:rsidR="00BD4037">
              <w:rPr>
                <w:noProof/>
                <w:webHidden/>
              </w:rPr>
              <w:fldChar w:fldCharType="separate"/>
            </w:r>
            <w:r w:rsidR="00C012A9">
              <w:rPr>
                <w:noProof/>
                <w:webHidden/>
              </w:rPr>
              <w:t>3</w:t>
            </w:r>
            <w:r w:rsidR="00BD4037">
              <w:rPr>
                <w:noProof/>
                <w:webHidden/>
              </w:rPr>
              <w:fldChar w:fldCharType="end"/>
            </w:r>
          </w:hyperlink>
        </w:p>
        <w:p w14:paraId="4A20C6D6" w14:textId="2956E15B" w:rsidR="00BD4037" w:rsidRDefault="001564A9">
          <w:pPr>
            <w:pStyle w:val="TOC4"/>
            <w:tabs>
              <w:tab w:val="left" w:pos="1100"/>
              <w:tab w:val="right" w:leader="dot" w:pos="9350"/>
            </w:tabs>
            <w:rPr>
              <w:rFonts w:asciiTheme="minorHAnsi" w:eastAsiaTheme="minorEastAsia" w:hAnsiTheme="minorHAnsi"/>
              <w:noProof/>
            </w:rPr>
          </w:pPr>
          <w:hyperlink w:anchor="_Toc17201187"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Modeling Element</w:t>
            </w:r>
            <w:r w:rsidR="00BD4037">
              <w:rPr>
                <w:noProof/>
                <w:webHidden/>
              </w:rPr>
              <w:tab/>
            </w:r>
            <w:r w:rsidR="00BD4037">
              <w:rPr>
                <w:noProof/>
                <w:webHidden/>
              </w:rPr>
              <w:fldChar w:fldCharType="begin"/>
            </w:r>
            <w:r w:rsidR="00BD4037">
              <w:rPr>
                <w:noProof/>
                <w:webHidden/>
              </w:rPr>
              <w:instrText xml:space="preserve"> PAGEREF _Toc17201187 \h </w:instrText>
            </w:r>
            <w:r w:rsidR="00BD4037">
              <w:rPr>
                <w:noProof/>
                <w:webHidden/>
              </w:rPr>
            </w:r>
            <w:r w:rsidR="00BD4037">
              <w:rPr>
                <w:noProof/>
                <w:webHidden/>
              </w:rPr>
              <w:fldChar w:fldCharType="separate"/>
            </w:r>
            <w:r w:rsidR="00C012A9">
              <w:rPr>
                <w:noProof/>
                <w:webHidden/>
              </w:rPr>
              <w:t>5</w:t>
            </w:r>
            <w:r w:rsidR="00BD4037">
              <w:rPr>
                <w:noProof/>
                <w:webHidden/>
              </w:rPr>
              <w:fldChar w:fldCharType="end"/>
            </w:r>
          </w:hyperlink>
        </w:p>
        <w:p w14:paraId="6678E485" w14:textId="56B5CA53" w:rsidR="00BD4037" w:rsidRDefault="001564A9">
          <w:pPr>
            <w:pStyle w:val="TOC4"/>
            <w:tabs>
              <w:tab w:val="left" w:pos="1100"/>
              <w:tab w:val="right" w:leader="dot" w:pos="9350"/>
            </w:tabs>
            <w:rPr>
              <w:rFonts w:asciiTheme="minorHAnsi" w:eastAsiaTheme="minorEastAsia" w:hAnsiTheme="minorHAnsi"/>
              <w:noProof/>
            </w:rPr>
          </w:pPr>
          <w:hyperlink w:anchor="_Toc17201188"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EPA Acknowledgement</w:t>
            </w:r>
            <w:r w:rsidR="00BD4037">
              <w:rPr>
                <w:noProof/>
                <w:webHidden/>
              </w:rPr>
              <w:tab/>
            </w:r>
            <w:r w:rsidR="00BD4037">
              <w:rPr>
                <w:noProof/>
                <w:webHidden/>
              </w:rPr>
              <w:fldChar w:fldCharType="begin"/>
            </w:r>
            <w:r w:rsidR="00BD4037">
              <w:rPr>
                <w:noProof/>
                <w:webHidden/>
              </w:rPr>
              <w:instrText xml:space="preserve"> PAGEREF _Toc17201188 \h </w:instrText>
            </w:r>
            <w:r w:rsidR="00BD4037">
              <w:rPr>
                <w:noProof/>
                <w:webHidden/>
              </w:rPr>
            </w:r>
            <w:r w:rsidR="00BD4037">
              <w:rPr>
                <w:noProof/>
                <w:webHidden/>
              </w:rPr>
              <w:fldChar w:fldCharType="separate"/>
            </w:r>
            <w:r w:rsidR="00C012A9">
              <w:rPr>
                <w:noProof/>
                <w:webHidden/>
              </w:rPr>
              <w:t>5</w:t>
            </w:r>
            <w:r w:rsidR="00BD4037">
              <w:rPr>
                <w:noProof/>
                <w:webHidden/>
              </w:rPr>
              <w:fldChar w:fldCharType="end"/>
            </w:r>
          </w:hyperlink>
        </w:p>
        <w:p w14:paraId="46E3A7EB" w14:textId="38A537F3" w:rsidR="00BD4037" w:rsidRDefault="001564A9">
          <w:pPr>
            <w:pStyle w:val="TOC3"/>
            <w:tabs>
              <w:tab w:val="left" w:pos="880"/>
              <w:tab w:val="right" w:leader="dot" w:pos="9350"/>
            </w:tabs>
            <w:rPr>
              <w:rFonts w:asciiTheme="minorHAnsi" w:eastAsiaTheme="minorEastAsia" w:hAnsiTheme="minorHAnsi"/>
              <w:noProof/>
            </w:rPr>
          </w:pPr>
          <w:hyperlink w:anchor="_Toc17201189" w:history="1">
            <w:r w:rsidR="00BD4037" w:rsidRPr="00B92C94">
              <w:rPr>
                <w:rStyle w:val="Hyperlink"/>
                <w:noProof/>
              </w:rPr>
              <w:t>b)</w:t>
            </w:r>
            <w:r w:rsidR="00BD4037">
              <w:rPr>
                <w:rFonts w:asciiTheme="minorHAnsi" w:eastAsiaTheme="minorEastAsia" w:hAnsiTheme="minorHAnsi"/>
                <w:noProof/>
              </w:rPr>
              <w:tab/>
            </w:r>
            <w:r w:rsidR="00BD4037" w:rsidRPr="00B92C94">
              <w:rPr>
                <w:rStyle w:val="Hyperlink"/>
                <w:noProof/>
              </w:rPr>
              <w:t>Fully Approved Attainment Plan for PM</w:t>
            </w:r>
            <w:r w:rsidR="00BD4037" w:rsidRPr="00B92C94">
              <w:rPr>
                <w:rStyle w:val="Hyperlink"/>
                <w:noProof/>
                <w:vertAlign w:val="subscript"/>
              </w:rPr>
              <w:t>2.5</w:t>
            </w:r>
            <w:r w:rsidR="00BD4037">
              <w:rPr>
                <w:noProof/>
                <w:webHidden/>
              </w:rPr>
              <w:tab/>
            </w:r>
            <w:r w:rsidR="00BD4037">
              <w:rPr>
                <w:noProof/>
                <w:webHidden/>
              </w:rPr>
              <w:fldChar w:fldCharType="begin"/>
            </w:r>
            <w:r w:rsidR="00BD4037">
              <w:rPr>
                <w:noProof/>
                <w:webHidden/>
              </w:rPr>
              <w:instrText xml:space="preserve"> PAGEREF _Toc17201189 \h </w:instrText>
            </w:r>
            <w:r w:rsidR="00BD4037">
              <w:rPr>
                <w:noProof/>
                <w:webHidden/>
              </w:rPr>
            </w:r>
            <w:r w:rsidR="00BD4037">
              <w:rPr>
                <w:noProof/>
                <w:webHidden/>
              </w:rPr>
              <w:fldChar w:fldCharType="separate"/>
            </w:r>
            <w:r w:rsidR="00C012A9">
              <w:rPr>
                <w:noProof/>
                <w:webHidden/>
              </w:rPr>
              <w:t>5</w:t>
            </w:r>
            <w:r w:rsidR="00BD4037">
              <w:rPr>
                <w:noProof/>
                <w:webHidden/>
              </w:rPr>
              <w:fldChar w:fldCharType="end"/>
            </w:r>
          </w:hyperlink>
        </w:p>
        <w:p w14:paraId="26ADC7E7" w14:textId="480357D6" w:rsidR="00BD4037" w:rsidRDefault="001564A9">
          <w:pPr>
            <w:pStyle w:val="TOC3"/>
            <w:tabs>
              <w:tab w:val="left" w:pos="880"/>
              <w:tab w:val="right" w:leader="dot" w:pos="9350"/>
            </w:tabs>
            <w:rPr>
              <w:rFonts w:asciiTheme="minorHAnsi" w:eastAsiaTheme="minorEastAsia" w:hAnsiTheme="minorHAnsi"/>
              <w:noProof/>
            </w:rPr>
          </w:pPr>
          <w:hyperlink w:anchor="_Toc17201190" w:history="1">
            <w:r w:rsidR="00BD4037" w:rsidRPr="00B92C94">
              <w:rPr>
                <w:rStyle w:val="Hyperlink"/>
                <w:noProof/>
              </w:rPr>
              <w:t>c)</w:t>
            </w:r>
            <w:r w:rsidR="00BD4037">
              <w:rPr>
                <w:rFonts w:asciiTheme="minorHAnsi" w:eastAsiaTheme="minorEastAsia" w:hAnsiTheme="minorHAnsi"/>
                <w:noProof/>
              </w:rPr>
              <w:tab/>
            </w:r>
            <w:r w:rsidR="00BD4037" w:rsidRPr="00B92C94">
              <w:rPr>
                <w:rStyle w:val="Hyperlink"/>
                <w:noProof/>
              </w:rPr>
              <w:t>Improvements in Air Quality Due to Permanent and Enforceable Reductions in Emissions</w:t>
            </w:r>
            <w:r w:rsidR="00BD4037">
              <w:rPr>
                <w:noProof/>
                <w:webHidden/>
              </w:rPr>
              <w:tab/>
            </w:r>
            <w:r w:rsidR="00BD4037">
              <w:rPr>
                <w:noProof/>
                <w:webHidden/>
              </w:rPr>
              <w:fldChar w:fldCharType="begin"/>
            </w:r>
            <w:r w:rsidR="00BD4037">
              <w:rPr>
                <w:noProof/>
                <w:webHidden/>
              </w:rPr>
              <w:instrText xml:space="preserve"> PAGEREF _Toc17201190 \h </w:instrText>
            </w:r>
            <w:r w:rsidR="00BD4037">
              <w:rPr>
                <w:noProof/>
                <w:webHidden/>
              </w:rPr>
            </w:r>
            <w:r w:rsidR="00BD4037">
              <w:rPr>
                <w:noProof/>
                <w:webHidden/>
              </w:rPr>
              <w:fldChar w:fldCharType="separate"/>
            </w:r>
            <w:r w:rsidR="00C012A9">
              <w:rPr>
                <w:noProof/>
                <w:webHidden/>
              </w:rPr>
              <w:t>10</w:t>
            </w:r>
            <w:r w:rsidR="00BD4037">
              <w:rPr>
                <w:noProof/>
                <w:webHidden/>
              </w:rPr>
              <w:fldChar w:fldCharType="end"/>
            </w:r>
          </w:hyperlink>
        </w:p>
        <w:p w14:paraId="73DAA11D" w14:textId="1341907F" w:rsidR="00BD4037" w:rsidRDefault="001564A9">
          <w:pPr>
            <w:pStyle w:val="TOC4"/>
            <w:tabs>
              <w:tab w:val="left" w:pos="1100"/>
              <w:tab w:val="right" w:leader="dot" w:pos="9350"/>
            </w:tabs>
            <w:rPr>
              <w:rFonts w:asciiTheme="minorHAnsi" w:eastAsiaTheme="minorEastAsia" w:hAnsiTheme="minorHAnsi"/>
              <w:noProof/>
            </w:rPr>
          </w:pPr>
          <w:hyperlink w:anchor="_Toc1720119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Improvement in Air Quality</w:t>
            </w:r>
            <w:r w:rsidR="00BD4037">
              <w:rPr>
                <w:noProof/>
                <w:webHidden/>
              </w:rPr>
              <w:tab/>
            </w:r>
            <w:r w:rsidR="00BD4037">
              <w:rPr>
                <w:noProof/>
                <w:webHidden/>
              </w:rPr>
              <w:fldChar w:fldCharType="begin"/>
            </w:r>
            <w:r w:rsidR="00BD4037">
              <w:rPr>
                <w:noProof/>
                <w:webHidden/>
              </w:rPr>
              <w:instrText xml:space="preserve"> PAGEREF _Toc17201191 \h </w:instrText>
            </w:r>
            <w:r w:rsidR="00BD4037">
              <w:rPr>
                <w:noProof/>
                <w:webHidden/>
              </w:rPr>
            </w:r>
            <w:r w:rsidR="00BD4037">
              <w:rPr>
                <w:noProof/>
                <w:webHidden/>
              </w:rPr>
              <w:fldChar w:fldCharType="separate"/>
            </w:r>
            <w:r w:rsidR="00C012A9">
              <w:rPr>
                <w:noProof/>
                <w:webHidden/>
              </w:rPr>
              <w:t>10</w:t>
            </w:r>
            <w:r w:rsidR="00BD4037">
              <w:rPr>
                <w:noProof/>
                <w:webHidden/>
              </w:rPr>
              <w:fldChar w:fldCharType="end"/>
            </w:r>
          </w:hyperlink>
        </w:p>
        <w:p w14:paraId="2563B838" w14:textId="2505CBDE" w:rsidR="00BD4037" w:rsidRDefault="001564A9">
          <w:pPr>
            <w:pStyle w:val="TOC4"/>
            <w:tabs>
              <w:tab w:val="left" w:pos="1100"/>
              <w:tab w:val="right" w:leader="dot" w:pos="9350"/>
            </w:tabs>
            <w:rPr>
              <w:rFonts w:asciiTheme="minorHAnsi" w:eastAsiaTheme="minorEastAsia" w:hAnsiTheme="minorHAnsi"/>
              <w:noProof/>
            </w:rPr>
          </w:pPr>
          <w:hyperlink w:anchor="_Toc1720119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Reduction in Emissions</w:t>
            </w:r>
            <w:r w:rsidR="00BD4037">
              <w:rPr>
                <w:noProof/>
                <w:webHidden/>
              </w:rPr>
              <w:tab/>
            </w:r>
            <w:r w:rsidR="00BD4037">
              <w:rPr>
                <w:noProof/>
                <w:webHidden/>
              </w:rPr>
              <w:fldChar w:fldCharType="begin"/>
            </w:r>
            <w:r w:rsidR="00BD4037">
              <w:rPr>
                <w:noProof/>
                <w:webHidden/>
              </w:rPr>
              <w:instrText xml:space="preserve"> PAGEREF _Toc17201192 \h </w:instrText>
            </w:r>
            <w:r w:rsidR="00BD4037">
              <w:rPr>
                <w:noProof/>
                <w:webHidden/>
              </w:rPr>
            </w:r>
            <w:r w:rsidR="00BD4037">
              <w:rPr>
                <w:noProof/>
                <w:webHidden/>
              </w:rPr>
              <w:fldChar w:fldCharType="separate"/>
            </w:r>
            <w:r w:rsidR="00C012A9">
              <w:rPr>
                <w:noProof/>
                <w:webHidden/>
              </w:rPr>
              <w:t>12</w:t>
            </w:r>
            <w:r w:rsidR="00BD4037">
              <w:rPr>
                <w:noProof/>
                <w:webHidden/>
              </w:rPr>
              <w:fldChar w:fldCharType="end"/>
            </w:r>
          </w:hyperlink>
        </w:p>
        <w:p w14:paraId="7D9EF85C" w14:textId="1E4A5268" w:rsidR="00BD4037" w:rsidRDefault="001564A9">
          <w:pPr>
            <w:pStyle w:val="TOC3"/>
            <w:tabs>
              <w:tab w:val="left" w:pos="880"/>
              <w:tab w:val="right" w:leader="dot" w:pos="9350"/>
            </w:tabs>
            <w:rPr>
              <w:rFonts w:asciiTheme="minorHAnsi" w:eastAsiaTheme="minorEastAsia" w:hAnsiTheme="minorHAnsi"/>
              <w:noProof/>
            </w:rPr>
          </w:pPr>
          <w:hyperlink w:anchor="_Toc17201193" w:history="1">
            <w:r w:rsidR="00BD4037" w:rsidRPr="00B92C94">
              <w:rPr>
                <w:rStyle w:val="Hyperlink"/>
                <w:noProof/>
              </w:rPr>
              <w:t>d)</w:t>
            </w:r>
            <w:r w:rsidR="00BD4037">
              <w:rPr>
                <w:rFonts w:asciiTheme="minorHAnsi" w:eastAsiaTheme="minorEastAsia" w:hAnsiTheme="minorHAnsi"/>
                <w:noProof/>
              </w:rPr>
              <w:tab/>
            </w:r>
            <w:r w:rsidR="00BD4037" w:rsidRPr="00B92C94">
              <w:rPr>
                <w:rStyle w:val="Hyperlink"/>
                <w:noProof/>
              </w:rPr>
              <w:t>State has Met Requirements of Section 110 and Part D</w:t>
            </w:r>
            <w:r w:rsidR="00BD4037">
              <w:rPr>
                <w:noProof/>
                <w:webHidden/>
              </w:rPr>
              <w:tab/>
            </w:r>
            <w:r w:rsidR="00BD4037">
              <w:rPr>
                <w:noProof/>
                <w:webHidden/>
              </w:rPr>
              <w:fldChar w:fldCharType="begin"/>
            </w:r>
            <w:r w:rsidR="00BD4037">
              <w:rPr>
                <w:noProof/>
                <w:webHidden/>
              </w:rPr>
              <w:instrText xml:space="preserve"> PAGEREF _Toc17201193 \h </w:instrText>
            </w:r>
            <w:r w:rsidR="00BD4037">
              <w:rPr>
                <w:noProof/>
                <w:webHidden/>
              </w:rPr>
            </w:r>
            <w:r w:rsidR="00BD4037">
              <w:rPr>
                <w:noProof/>
                <w:webHidden/>
              </w:rPr>
              <w:fldChar w:fldCharType="separate"/>
            </w:r>
            <w:r w:rsidR="00C012A9">
              <w:rPr>
                <w:noProof/>
                <w:webHidden/>
              </w:rPr>
              <w:t>17</w:t>
            </w:r>
            <w:r w:rsidR="00BD4037">
              <w:rPr>
                <w:noProof/>
                <w:webHidden/>
              </w:rPr>
              <w:fldChar w:fldCharType="end"/>
            </w:r>
          </w:hyperlink>
        </w:p>
        <w:p w14:paraId="56AACE37" w14:textId="7F0B9AA2" w:rsidR="00BD4037" w:rsidRDefault="001564A9">
          <w:pPr>
            <w:pStyle w:val="TOC4"/>
            <w:tabs>
              <w:tab w:val="left" w:pos="1100"/>
              <w:tab w:val="right" w:leader="dot" w:pos="9350"/>
            </w:tabs>
            <w:rPr>
              <w:rFonts w:asciiTheme="minorHAnsi" w:eastAsiaTheme="minorEastAsia" w:hAnsiTheme="minorHAnsi"/>
              <w:noProof/>
            </w:rPr>
          </w:pPr>
          <w:hyperlink w:anchor="_Toc17201194"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Section 110</w:t>
            </w:r>
            <w:r w:rsidR="00BD4037">
              <w:rPr>
                <w:noProof/>
                <w:webHidden/>
              </w:rPr>
              <w:tab/>
            </w:r>
            <w:r w:rsidR="00BD4037">
              <w:rPr>
                <w:noProof/>
                <w:webHidden/>
              </w:rPr>
              <w:fldChar w:fldCharType="begin"/>
            </w:r>
            <w:r w:rsidR="00BD4037">
              <w:rPr>
                <w:noProof/>
                <w:webHidden/>
              </w:rPr>
              <w:instrText xml:space="preserve"> PAGEREF _Toc17201194 \h </w:instrText>
            </w:r>
            <w:r w:rsidR="00BD4037">
              <w:rPr>
                <w:noProof/>
                <w:webHidden/>
              </w:rPr>
            </w:r>
            <w:r w:rsidR="00BD4037">
              <w:rPr>
                <w:noProof/>
                <w:webHidden/>
              </w:rPr>
              <w:fldChar w:fldCharType="separate"/>
            </w:r>
            <w:r w:rsidR="00C012A9">
              <w:rPr>
                <w:noProof/>
                <w:webHidden/>
              </w:rPr>
              <w:t>17</w:t>
            </w:r>
            <w:r w:rsidR="00BD4037">
              <w:rPr>
                <w:noProof/>
                <w:webHidden/>
              </w:rPr>
              <w:fldChar w:fldCharType="end"/>
            </w:r>
          </w:hyperlink>
        </w:p>
        <w:p w14:paraId="71B60A4A" w14:textId="356D9138" w:rsidR="00BD4037" w:rsidRDefault="001564A9">
          <w:pPr>
            <w:pStyle w:val="TOC4"/>
            <w:tabs>
              <w:tab w:val="left" w:pos="1100"/>
              <w:tab w:val="right" w:leader="dot" w:pos="9350"/>
            </w:tabs>
            <w:rPr>
              <w:rFonts w:asciiTheme="minorHAnsi" w:eastAsiaTheme="minorEastAsia" w:hAnsiTheme="minorHAnsi"/>
              <w:noProof/>
            </w:rPr>
          </w:pPr>
          <w:hyperlink w:anchor="_Toc17201195"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Part D Subpart 1 and 4</w:t>
            </w:r>
            <w:r w:rsidR="00BD4037">
              <w:rPr>
                <w:noProof/>
                <w:webHidden/>
              </w:rPr>
              <w:tab/>
            </w:r>
            <w:r w:rsidR="00BD4037">
              <w:rPr>
                <w:noProof/>
                <w:webHidden/>
              </w:rPr>
              <w:fldChar w:fldCharType="begin"/>
            </w:r>
            <w:r w:rsidR="00BD4037">
              <w:rPr>
                <w:noProof/>
                <w:webHidden/>
              </w:rPr>
              <w:instrText xml:space="preserve"> PAGEREF _Toc17201195 \h </w:instrText>
            </w:r>
            <w:r w:rsidR="00BD4037">
              <w:rPr>
                <w:noProof/>
                <w:webHidden/>
              </w:rPr>
            </w:r>
            <w:r w:rsidR="00BD4037">
              <w:rPr>
                <w:noProof/>
                <w:webHidden/>
              </w:rPr>
              <w:fldChar w:fldCharType="separate"/>
            </w:r>
            <w:r w:rsidR="00C012A9">
              <w:rPr>
                <w:noProof/>
                <w:webHidden/>
              </w:rPr>
              <w:t>17</w:t>
            </w:r>
            <w:r w:rsidR="00BD4037">
              <w:rPr>
                <w:noProof/>
                <w:webHidden/>
              </w:rPr>
              <w:fldChar w:fldCharType="end"/>
            </w:r>
          </w:hyperlink>
        </w:p>
        <w:p w14:paraId="6FB5B1D1" w14:textId="1C27DD60" w:rsidR="00BD4037" w:rsidRDefault="001564A9">
          <w:pPr>
            <w:pStyle w:val="TOC3"/>
            <w:tabs>
              <w:tab w:val="left" w:pos="880"/>
              <w:tab w:val="right" w:leader="dot" w:pos="9350"/>
            </w:tabs>
            <w:rPr>
              <w:rFonts w:asciiTheme="minorHAnsi" w:eastAsiaTheme="minorEastAsia" w:hAnsiTheme="minorHAnsi"/>
              <w:noProof/>
            </w:rPr>
          </w:pPr>
          <w:hyperlink w:anchor="_Toc17201196" w:history="1">
            <w:r w:rsidR="00BD4037" w:rsidRPr="00B92C94">
              <w:rPr>
                <w:rStyle w:val="Hyperlink"/>
                <w:noProof/>
              </w:rPr>
              <w:t>e)</w:t>
            </w:r>
            <w:r w:rsidR="00BD4037">
              <w:rPr>
                <w:rFonts w:asciiTheme="minorHAnsi" w:eastAsiaTheme="minorEastAsia" w:hAnsiTheme="minorHAnsi"/>
                <w:noProof/>
              </w:rPr>
              <w:tab/>
            </w:r>
            <w:r w:rsidR="00BD4037" w:rsidRPr="00B92C94">
              <w:rPr>
                <w:rStyle w:val="Hyperlink"/>
                <w:noProof/>
              </w:rPr>
              <w:t>Maintenance Plan for PM</w:t>
            </w:r>
            <w:r w:rsidR="00BD4037" w:rsidRPr="00B92C94">
              <w:rPr>
                <w:rStyle w:val="Hyperlink"/>
                <w:noProof/>
                <w:vertAlign w:val="subscript"/>
              </w:rPr>
              <w:t xml:space="preserve">2.5 </w:t>
            </w:r>
            <w:r w:rsidR="00BD4037" w:rsidRPr="00B92C94">
              <w:rPr>
                <w:rStyle w:val="Hyperlink"/>
                <w:noProof/>
              </w:rPr>
              <w:t>Areas</w:t>
            </w:r>
            <w:r w:rsidR="00BD4037">
              <w:rPr>
                <w:noProof/>
                <w:webHidden/>
              </w:rPr>
              <w:tab/>
            </w:r>
            <w:r w:rsidR="00BD4037">
              <w:rPr>
                <w:noProof/>
                <w:webHidden/>
              </w:rPr>
              <w:fldChar w:fldCharType="begin"/>
            </w:r>
            <w:r w:rsidR="00BD4037">
              <w:rPr>
                <w:noProof/>
                <w:webHidden/>
              </w:rPr>
              <w:instrText xml:space="preserve"> PAGEREF _Toc17201196 \h </w:instrText>
            </w:r>
            <w:r w:rsidR="00BD4037">
              <w:rPr>
                <w:noProof/>
                <w:webHidden/>
              </w:rPr>
            </w:r>
            <w:r w:rsidR="00BD4037">
              <w:rPr>
                <w:noProof/>
                <w:webHidden/>
              </w:rPr>
              <w:fldChar w:fldCharType="separate"/>
            </w:r>
            <w:r w:rsidR="00C012A9">
              <w:rPr>
                <w:noProof/>
                <w:webHidden/>
              </w:rPr>
              <w:t>18</w:t>
            </w:r>
            <w:r w:rsidR="00BD4037">
              <w:rPr>
                <w:noProof/>
                <w:webHidden/>
              </w:rPr>
              <w:fldChar w:fldCharType="end"/>
            </w:r>
          </w:hyperlink>
        </w:p>
        <w:p w14:paraId="28737F5C" w14:textId="653216CC" w:rsidR="00BD4037" w:rsidRDefault="001564A9">
          <w:pPr>
            <w:pStyle w:val="TOC1"/>
            <w:tabs>
              <w:tab w:val="right" w:leader="dot" w:pos="9350"/>
            </w:tabs>
            <w:rPr>
              <w:rFonts w:asciiTheme="minorHAnsi" w:eastAsiaTheme="minorEastAsia" w:hAnsiTheme="minorHAnsi"/>
              <w:noProof/>
            </w:rPr>
          </w:pPr>
          <w:hyperlink w:anchor="_Toc17201197" w:history="1">
            <w:r w:rsidR="00BD4037" w:rsidRPr="00B92C94">
              <w:rPr>
                <w:rStyle w:val="Hyperlink"/>
                <w:noProof/>
              </w:rPr>
              <w:t>IX.A.27.c Maintenance Plan</w:t>
            </w:r>
            <w:r w:rsidR="00BD4037">
              <w:rPr>
                <w:noProof/>
                <w:webHidden/>
              </w:rPr>
              <w:tab/>
            </w:r>
            <w:r w:rsidR="00BD4037">
              <w:rPr>
                <w:noProof/>
                <w:webHidden/>
              </w:rPr>
              <w:fldChar w:fldCharType="begin"/>
            </w:r>
            <w:r w:rsidR="00BD4037">
              <w:rPr>
                <w:noProof/>
                <w:webHidden/>
              </w:rPr>
              <w:instrText xml:space="preserve"> PAGEREF _Toc17201197 \h </w:instrText>
            </w:r>
            <w:r w:rsidR="00BD4037">
              <w:rPr>
                <w:noProof/>
                <w:webHidden/>
              </w:rPr>
            </w:r>
            <w:r w:rsidR="00BD4037">
              <w:rPr>
                <w:noProof/>
                <w:webHidden/>
              </w:rPr>
              <w:fldChar w:fldCharType="separate"/>
            </w:r>
            <w:r w:rsidR="00C012A9">
              <w:rPr>
                <w:noProof/>
                <w:webHidden/>
              </w:rPr>
              <w:t>18</w:t>
            </w:r>
            <w:r w:rsidR="00BD4037">
              <w:rPr>
                <w:noProof/>
                <w:webHidden/>
              </w:rPr>
              <w:fldChar w:fldCharType="end"/>
            </w:r>
          </w:hyperlink>
        </w:p>
        <w:p w14:paraId="71E9BD91" w14:textId="474A3FD7" w:rsidR="00BD4037" w:rsidRDefault="001564A9">
          <w:pPr>
            <w:pStyle w:val="TOC2"/>
            <w:tabs>
              <w:tab w:val="right" w:leader="dot" w:pos="9350"/>
            </w:tabs>
            <w:rPr>
              <w:rFonts w:asciiTheme="minorHAnsi" w:eastAsiaTheme="minorEastAsia" w:hAnsiTheme="minorHAnsi"/>
              <w:noProof/>
            </w:rPr>
          </w:pPr>
          <w:hyperlink w:anchor="_Toc17201198" w:history="1">
            <w:r w:rsidR="00BD4037" w:rsidRPr="00B92C94">
              <w:rPr>
                <w:rStyle w:val="Hyperlink"/>
                <w:noProof/>
              </w:rPr>
              <w:t>(1) Demonstration of Maintenance - Modeling Analysis</w:t>
            </w:r>
            <w:r w:rsidR="00BD4037">
              <w:rPr>
                <w:noProof/>
                <w:webHidden/>
              </w:rPr>
              <w:tab/>
            </w:r>
            <w:r w:rsidR="00BD4037">
              <w:rPr>
                <w:noProof/>
                <w:webHidden/>
              </w:rPr>
              <w:fldChar w:fldCharType="begin"/>
            </w:r>
            <w:r w:rsidR="00BD4037">
              <w:rPr>
                <w:noProof/>
                <w:webHidden/>
              </w:rPr>
              <w:instrText xml:space="preserve"> PAGEREF _Toc17201198 \h </w:instrText>
            </w:r>
            <w:r w:rsidR="00BD4037">
              <w:rPr>
                <w:noProof/>
                <w:webHidden/>
              </w:rPr>
            </w:r>
            <w:r w:rsidR="00BD4037">
              <w:rPr>
                <w:noProof/>
                <w:webHidden/>
              </w:rPr>
              <w:fldChar w:fldCharType="separate"/>
            </w:r>
            <w:r w:rsidR="00C012A9">
              <w:rPr>
                <w:noProof/>
                <w:webHidden/>
              </w:rPr>
              <w:t>19</w:t>
            </w:r>
            <w:r w:rsidR="00BD4037">
              <w:rPr>
                <w:noProof/>
                <w:webHidden/>
              </w:rPr>
              <w:fldChar w:fldCharType="end"/>
            </w:r>
          </w:hyperlink>
        </w:p>
        <w:p w14:paraId="2F1A5904" w14:textId="78B35940" w:rsidR="00BD4037" w:rsidRDefault="001564A9">
          <w:pPr>
            <w:pStyle w:val="TOC3"/>
            <w:tabs>
              <w:tab w:val="right" w:leader="dot" w:pos="9350"/>
            </w:tabs>
            <w:rPr>
              <w:rFonts w:asciiTheme="minorHAnsi" w:eastAsiaTheme="minorEastAsia" w:hAnsiTheme="minorHAnsi"/>
              <w:noProof/>
            </w:rPr>
          </w:pPr>
          <w:hyperlink w:anchor="_Toc17201199" w:history="1">
            <w:r w:rsidR="00BD4037" w:rsidRPr="00B92C94">
              <w:rPr>
                <w:rStyle w:val="Hyperlink"/>
                <w:noProof/>
              </w:rPr>
              <w:t>(a) Introduction</w:t>
            </w:r>
            <w:r w:rsidR="00BD4037">
              <w:rPr>
                <w:noProof/>
                <w:webHidden/>
              </w:rPr>
              <w:tab/>
            </w:r>
            <w:r w:rsidR="00BD4037">
              <w:rPr>
                <w:noProof/>
                <w:webHidden/>
              </w:rPr>
              <w:fldChar w:fldCharType="begin"/>
            </w:r>
            <w:r w:rsidR="00BD4037">
              <w:rPr>
                <w:noProof/>
                <w:webHidden/>
              </w:rPr>
              <w:instrText xml:space="preserve"> PAGEREF _Toc17201199 \h </w:instrText>
            </w:r>
            <w:r w:rsidR="00BD4037">
              <w:rPr>
                <w:noProof/>
                <w:webHidden/>
              </w:rPr>
            </w:r>
            <w:r w:rsidR="00BD4037">
              <w:rPr>
                <w:noProof/>
                <w:webHidden/>
              </w:rPr>
              <w:fldChar w:fldCharType="separate"/>
            </w:r>
            <w:r w:rsidR="00C012A9">
              <w:rPr>
                <w:noProof/>
                <w:webHidden/>
              </w:rPr>
              <w:t>19</w:t>
            </w:r>
            <w:r w:rsidR="00BD4037">
              <w:rPr>
                <w:noProof/>
                <w:webHidden/>
              </w:rPr>
              <w:fldChar w:fldCharType="end"/>
            </w:r>
          </w:hyperlink>
        </w:p>
        <w:p w14:paraId="20D5B351" w14:textId="62066717" w:rsidR="00BD4037" w:rsidRDefault="001564A9">
          <w:pPr>
            <w:pStyle w:val="TOC3"/>
            <w:tabs>
              <w:tab w:val="right" w:leader="dot" w:pos="9350"/>
            </w:tabs>
            <w:rPr>
              <w:rFonts w:asciiTheme="minorHAnsi" w:eastAsiaTheme="minorEastAsia" w:hAnsiTheme="minorHAnsi"/>
              <w:noProof/>
            </w:rPr>
          </w:pPr>
          <w:hyperlink w:anchor="_Toc17201200" w:history="1">
            <w:r w:rsidR="00BD4037" w:rsidRPr="00B92C94">
              <w:rPr>
                <w:rStyle w:val="Hyperlink"/>
                <w:noProof/>
              </w:rPr>
              <w:t>(b) Photochemical Modeling</w:t>
            </w:r>
            <w:r w:rsidR="00BD4037">
              <w:rPr>
                <w:noProof/>
                <w:webHidden/>
              </w:rPr>
              <w:tab/>
            </w:r>
            <w:r w:rsidR="00BD4037">
              <w:rPr>
                <w:noProof/>
                <w:webHidden/>
              </w:rPr>
              <w:fldChar w:fldCharType="begin"/>
            </w:r>
            <w:r w:rsidR="00BD4037">
              <w:rPr>
                <w:noProof/>
                <w:webHidden/>
              </w:rPr>
              <w:instrText xml:space="preserve"> PAGEREF _Toc17201200 \h </w:instrText>
            </w:r>
            <w:r w:rsidR="00BD4037">
              <w:rPr>
                <w:noProof/>
                <w:webHidden/>
              </w:rPr>
            </w:r>
            <w:r w:rsidR="00BD4037">
              <w:rPr>
                <w:noProof/>
                <w:webHidden/>
              </w:rPr>
              <w:fldChar w:fldCharType="separate"/>
            </w:r>
            <w:r w:rsidR="00C012A9">
              <w:rPr>
                <w:noProof/>
                <w:webHidden/>
              </w:rPr>
              <w:t>20</w:t>
            </w:r>
            <w:r w:rsidR="00BD4037">
              <w:rPr>
                <w:noProof/>
                <w:webHidden/>
              </w:rPr>
              <w:fldChar w:fldCharType="end"/>
            </w:r>
          </w:hyperlink>
        </w:p>
        <w:p w14:paraId="414CDB21" w14:textId="6A53318B" w:rsidR="00BD4037" w:rsidRDefault="001564A9">
          <w:pPr>
            <w:pStyle w:val="TOC4"/>
            <w:tabs>
              <w:tab w:val="left" w:pos="1100"/>
              <w:tab w:val="right" w:leader="dot" w:pos="9350"/>
            </w:tabs>
            <w:rPr>
              <w:rFonts w:asciiTheme="minorHAnsi" w:eastAsiaTheme="minorEastAsia" w:hAnsiTheme="minorHAnsi"/>
              <w:noProof/>
            </w:rPr>
          </w:pPr>
          <w:hyperlink w:anchor="_Toc1720120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Emissions Preparation</w:t>
            </w:r>
            <w:r w:rsidR="00BD4037">
              <w:rPr>
                <w:noProof/>
                <w:webHidden/>
              </w:rPr>
              <w:tab/>
            </w:r>
            <w:r w:rsidR="00BD4037">
              <w:rPr>
                <w:noProof/>
                <w:webHidden/>
              </w:rPr>
              <w:fldChar w:fldCharType="begin"/>
            </w:r>
            <w:r w:rsidR="00BD4037">
              <w:rPr>
                <w:noProof/>
                <w:webHidden/>
              </w:rPr>
              <w:instrText xml:space="preserve"> PAGEREF _Toc17201201 \h </w:instrText>
            </w:r>
            <w:r w:rsidR="00BD4037">
              <w:rPr>
                <w:noProof/>
                <w:webHidden/>
              </w:rPr>
            </w:r>
            <w:r w:rsidR="00BD4037">
              <w:rPr>
                <w:noProof/>
                <w:webHidden/>
              </w:rPr>
              <w:fldChar w:fldCharType="separate"/>
            </w:r>
            <w:r w:rsidR="00C012A9">
              <w:rPr>
                <w:noProof/>
                <w:webHidden/>
              </w:rPr>
              <w:t>20</w:t>
            </w:r>
            <w:r w:rsidR="00BD4037">
              <w:rPr>
                <w:noProof/>
                <w:webHidden/>
              </w:rPr>
              <w:fldChar w:fldCharType="end"/>
            </w:r>
          </w:hyperlink>
        </w:p>
        <w:p w14:paraId="3C7F5D60" w14:textId="6DF5A966" w:rsidR="00BD4037" w:rsidRDefault="001564A9">
          <w:pPr>
            <w:pStyle w:val="TOC4"/>
            <w:tabs>
              <w:tab w:val="left" w:pos="1100"/>
              <w:tab w:val="right" w:leader="dot" w:pos="9350"/>
            </w:tabs>
            <w:rPr>
              <w:rFonts w:asciiTheme="minorHAnsi" w:eastAsiaTheme="minorEastAsia" w:hAnsiTheme="minorHAnsi"/>
              <w:noProof/>
            </w:rPr>
          </w:pPr>
          <w:hyperlink w:anchor="_Toc1720120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Photochemical Modeling Domains and Grid Resolution</w:t>
            </w:r>
            <w:r w:rsidR="00BD4037">
              <w:rPr>
                <w:noProof/>
                <w:webHidden/>
              </w:rPr>
              <w:tab/>
            </w:r>
            <w:r w:rsidR="00BD4037">
              <w:rPr>
                <w:noProof/>
                <w:webHidden/>
              </w:rPr>
              <w:fldChar w:fldCharType="begin"/>
            </w:r>
            <w:r w:rsidR="00BD4037">
              <w:rPr>
                <w:noProof/>
                <w:webHidden/>
              </w:rPr>
              <w:instrText xml:space="preserve"> PAGEREF _Toc17201202 \h </w:instrText>
            </w:r>
            <w:r w:rsidR="00BD4037">
              <w:rPr>
                <w:noProof/>
                <w:webHidden/>
              </w:rPr>
            </w:r>
            <w:r w:rsidR="00BD4037">
              <w:rPr>
                <w:noProof/>
                <w:webHidden/>
              </w:rPr>
              <w:fldChar w:fldCharType="separate"/>
            </w:r>
            <w:r w:rsidR="00C012A9">
              <w:rPr>
                <w:noProof/>
                <w:webHidden/>
              </w:rPr>
              <w:t>20</w:t>
            </w:r>
            <w:r w:rsidR="00BD4037">
              <w:rPr>
                <w:noProof/>
                <w:webHidden/>
              </w:rPr>
              <w:fldChar w:fldCharType="end"/>
            </w:r>
          </w:hyperlink>
        </w:p>
        <w:p w14:paraId="7D2E0449" w14:textId="71A90DFE" w:rsidR="00BD4037" w:rsidRDefault="001564A9">
          <w:pPr>
            <w:pStyle w:val="TOC4"/>
            <w:tabs>
              <w:tab w:val="left" w:pos="1320"/>
              <w:tab w:val="right" w:leader="dot" w:pos="9350"/>
            </w:tabs>
            <w:rPr>
              <w:rFonts w:asciiTheme="minorHAnsi" w:eastAsiaTheme="minorEastAsia" w:hAnsiTheme="minorHAnsi"/>
              <w:noProof/>
            </w:rPr>
          </w:pPr>
          <w:hyperlink w:anchor="_Toc17201203" w:history="1">
            <w:r w:rsidR="00BD4037" w:rsidRPr="00B92C94">
              <w:rPr>
                <w:rStyle w:val="Hyperlink"/>
                <w:noProof/>
              </w:rPr>
              <w:t>iii.</w:t>
            </w:r>
            <w:r w:rsidR="00BD4037">
              <w:rPr>
                <w:rFonts w:asciiTheme="minorHAnsi" w:eastAsiaTheme="minorEastAsia" w:hAnsiTheme="minorHAnsi"/>
                <w:noProof/>
              </w:rPr>
              <w:tab/>
            </w:r>
            <w:r w:rsidR="00BD4037" w:rsidRPr="00B92C94">
              <w:rPr>
                <w:rStyle w:val="Hyperlink"/>
                <w:noProof/>
              </w:rPr>
              <w:t>Meteorological Data</w:t>
            </w:r>
            <w:r w:rsidR="00BD4037">
              <w:rPr>
                <w:noProof/>
                <w:webHidden/>
              </w:rPr>
              <w:tab/>
            </w:r>
            <w:r w:rsidR="00BD4037">
              <w:rPr>
                <w:noProof/>
                <w:webHidden/>
              </w:rPr>
              <w:fldChar w:fldCharType="begin"/>
            </w:r>
            <w:r w:rsidR="00BD4037">
              <w:rPr>
                <w:noProof/>
                <w:webHidden/>
              </w:rPr>
              <w:instrText xml:space="preserve"> PAGEREF _Toc17201203 \h </w:instrText>
            </w:r>
            <w:r w:rsidR="00BD4037">
              <w:rPr>
                <w:noProof/>
                <w:webHidden/>
              </w:rPr>
            </w:r>
            <w:r w:rsidR="00BD4037">
              <w:rPr>
                <w:noProof/>
                <w:webHidden/>
              </w:rPr>
              <w:fldChar w:fldCharType="separate"/>
            </w:r>
            <w:r w:rsidR="00C012A9">
              <w:rPr>
                <w:noProof/>
                <w:webHidden/>
              </w:rPr>
              <w:t>21</w:t>
            </w:r>
            <w:r w:rsidR="00BD4037">
              <w:rPr>
                <w:noProof/>
                <w:webHidden/>
              </w:rPr>
              <w:fldChar w:fldCharType="end"/>
            </w:r>
          </w:hyperlink>
        </w:p>
        <w:p w14:paraId="6967719B" w14:textId="5165B35F" w:rsidR="00BD4037" w:rsidRDefault="001564A9">
          <w:pPr>
            <w:pStyle w:val="TOC4"/>
            <w:tabs>
              <w:tab w:val="left" w:pos="1320"/>
              <w:tab w:val="right" w:leader="dot" w:pos="9350"/>
            </w:tabs>
            <w:rPr>
              <w:rFonts w:asciiTheme="minorHAnsi" w:eastAsiaTheme="minorEastAsia" w:hAnsiTheme="minorHAnsi"/>
              <w:noProof/>
            </w:rPr>
          </w:pPr>
          <w:hyperlink w:anchor="_Toc17201204" w:history="1">
            <w:r w:rsidR="00BD4037" w:rsidRPr="00B92C94">
              <w:rPr>
                <w:rStyle w:val="Hyperlink"/>
                <w:noProof/>
              </w:rPr>
              <w:t>iv.</w:t>
            </w:r>
            <w:r w:rsidR="00BD4037">
              <w:rPr>
                <w:rFonts w:asciiTheme="minorHAnsi" w:eastAsiaTheme="minorEastAsia" w:hAnsiTheme="minorHAnsi"/>
                <w:noProof/>
              </w:rPr>
              <w:tab/>
            </w:r>
            <w:r w:rsidR="00BD4037" w:rsidRPr="00B92C94">
              <w:rPr>
                <w:rStyle w:val="Hyperlink"/>
                <w:noProof/>
              </w:rPr>
              <w:t>Episode Selection</w:t>
            </w:r>
            <w:r w:rsidR="00BD4037">
              <w:rPr>
                <w:noProof/>
                <w:webHidden/>
              </w:rPr>
              <w:tab/>
            </w:r>
            <w:r w:rsidR="00BD4037">
              <w:rPr>
                <w:noProof/>
                <w:webHidden/>
              </w:rPr>
              <w:fldChar w:fldCharType="begin"/>
            </w:r>
            <w:r w:rsidR="00BD4037">
              <w:rPr>
                <w:noProof/>
                <w:webHidden/>
              </w:rPr>
              <w:instrText xml:space="preserve"> PAGEREF _Toc17201204 \h </w:instrText>
            </w:r>
            <w:r w:rsidR="00BD4037">
              <w:rPr>
                <w:noProof/>
                <w:webHidden/>
              </w:rPr>
            </w:r>
            <w:r w:rsidR="00BD4037">
              <w:rPr>
                <w:noProof/>
                <w:webHidden/>
              </w:rPr>
              <w:fldChar w:fldCharType="separate"/>
            </w:r>
            <w:r w:rsidR="00C012A9">
              <w:rPr>
                <w:noProof/>
                <w:webHidden/>
              </w:rPr>
              <w:t>22</w:t>
            </w:r>
            <w:r w:rsidR="00BD4037">
              <w:rPr>
                <w:noProof/>
                <w:webHidden/>
              </w:rPr>
              <w:fldChar w:fldCharType="end"/>
            </w:r>
          </w:hyperlink>
        </w:p>
        <w:p w14:paraId="407E48B6" w14:textId="0788B117" w:rsidR="00BD4037" w:rsidRDefault="001564A9">
          <w:pPr>
            <w:pStyle w:val="TOC3"/>
            <w:tabs>
              <w:tab w:val="right" w:leader="dot" w:pos="9350"/>
            </w:tabs>
            <w:rPr>
              <w:rFonts w:asciiTheme="minorHAnsi" w:eastAsiaTheme="minorEastAsia" w:hAnsiTheme="minorHAnsi"/>
              <w:noProof/>
            </w:rPr>
          </w:pPr>
          <w:hyperlink w:anchor="_Toc17201205" w:history="1">
            <w:r w:rsidR="00BD4037" w:rsidRPr="00B92C94">
              <w:rPr>
                <w:rStyle w:val="Hyperlink"/>
                <w:noProof/>
              </w:rPr>
              <w:t xml:space="preserve">(c) Photochemical </w:t>
            </w:r>
            <w:r w:rsidR="00BD4037" w:rsidRPr="00B92C94">
              <w:rPr>
                <w:rStyle w:val="Hyperlink"/>
                <w:noProof/>
                <w:lang w:val="en"/>
              </w:rPr>
              <w:t>Model Performance Evaluation</w:t>
            </w:r>
            <w:r w:rsidR="00BD4037">
              <w:rPr>
                <w:noProof/>
                <w:webHidden/>
              </w:rPr>
              <w:tab/>
            </w:r>
            <w:r w:rsidR="00BD4037">
              <w:rPr>
                <w:noProof/>
                <w:webHidden/>
              </w:rPr>
              <w:fldChar w:fldCharType="begin"/>
            </w:r>
            <w:r w:rsidR="00BD4037">
              <w:rPr>
                <w:noProof/>
                <w:webHidden/>
              </w:rPr>
              <w:instrText xml:space="preserve"> PAGEREF _Toc17201205 \h </w:instrText>
            </w:r>
            <w:r w:rsidR="00BD4037">
              <w:rPr>
                <w:noProof/>
                <w:webHidden/>
              </w:rPr>
            </w:r>
            <w:r w:rsidR="00BD4037">
              <w:rPr>
                <w:noProof/>
                <w:webHidden/>
              </w:rPr>
              <w:fldChar w:fldCharType="separate"/>
            </w:r>
            <w:r w:rsidR="00C012A9">
              <w:rPr>
                <w:noProof/>
                <w:webHidden/>
              </w:rPr>
              <w:t>31</w:t>
            </w:r>
            <w:r w:rsidR="00BD4037">
              <w:rPr>
                <w:noProof/>
                <w:webHidden/>
              </w:rPr>
              <w:fldChar w:fldCharType="end"/>
            </w:r>
          </w:hyperlink>
        </w:p>
        <w:p w14:paraId="47B83C31" w14:textId="3AA1DA61" w:rsidR="00BD4037" w:rsidRDefault="001564A9">
          <w:pPr>
            <w:pStyle w:val="TOC3"/>
            <w:tabs>
              <w:tab w:val="right" w:leader="dot" w:pos="9350"/>
            </w:tabs>
            <w:rPr>
              <w:rFonts w:asciiTheme="minorHAnsi" w:eastAsiaTheme="minorEastAsia" w:hAnsiTheme="minorHAnsi"/>
              <w:noProof/>
            </w:rPr>
          </w:pPr>
          <w:hyperlink w:anchor="_Toc17201206" w:history="1">
            <w:r w:rsidR="00BD4037" w:rsidRPr="00B92C94">
              <w:rPr>
                <w:rStyle w:val="Hyperlink"/>
                <w:noProof/>
              </w:rPr>
              <w:t>(d) Modeled Attainment Test</w:t>
            </w:r>
            <w:r w:rsidR="00BD4037">
              <w:rPr>
                <w:noProof/>
                <w:webHidden/>
              </w:rPr>
              <w:tab/>
            </w:r>
            <w:r w:rsidR="00BD4037">
              <w:rPr>
                <w:noProof/>
                <w:webHidden/>
              </w:rPr>
              <w:fldChar w:fldCharType="begin"/>
            </w:r>
            <w:r w:rsidR="00BD4037">
              <w:rPr>
                <w:noProof/>
                <w:webHidden/>
              </w:rPr>
              <w:instrText xml:space="preserve"> PAGEREF _Toc17201206 \h </w:instrText>
            </w:r>
            <w:r w:rsidR="00BD4037">
              <w:rPr>
                <w:noProof/>
                <w:webHidden/>
              </w:rPr>
            </w:r>
            <w:r w:rsidR="00BD4037">
              <w:rPr>
                <w:noProof/>
                <w:webHidden/>
              </w:rPr>
              <w:fldChar w:fldCharType="separate"/>
            </w:r>
            <w:r w:rsidR="00C012A9">
              <w:rPr>
                <w:noProof/>
                <w:webHidden/>
              </w:rPr>
              <w:t>33</w:t>
            </w:r>
            <w:r w:rsidR="00BD4037">
              <w:rPr>
                <w:noProof/>
                <w:webHidden/>
              </w:rPr>
              <w:fldChar w:fldCharType="end"/>
            </w:r>
          </w:hyperlink>
        </w:p>
        <w:p w14:paraId="01EA07FC" w14:textId="2EA195A2" w:rsidR="00BD4037" w:rsidRDefault="001564A9">
          <w:pPr>
            <w:pStyle w:val="TOC2"/>
            <w:tabs>
              <w:tab w:val="right" w:leader="dot" w:pos="9350"/>
            </w:tabs>
            <w:rPr>
              <w:rFonts w:asciiTheme="minorHAnsi" w:eastAsiaTheme="minorEastAsia" w:hAnsiTheme="minorHAnsi"/>
              <w:noProof/>
            </w:rPr>
          </w:pPr>
          <w:hyperlink w:anchor="_Toc17201207" w:history="1">
            <w:r w:rsidR="00BD4037" w:rsidRPr="00B92C94">
              <w:rPr>
                <w:rStyle w:val="Hyperlink"/>
                <w:noProof/>
              </w:rPr>
              <w:t>(2) Attainment Inventory</w:t>
            </w:r>
            <w:r w:rsidR="00BD4037">
              <w:rPr>
                <w:noProof/>
                <w:webHidden/>
              </w:rPr>
              <w:tab/>
            </w:r>
            <w:r w:rsidR="00BD4037">
              <w:rPr>
                <w:noProof/>
                <w:webHidden/>
              </w:rPr>
              <w:fldChar w:fldCharType="begin"/>
            </w:r>
            <w:r w:rsidR="00BD4037">
              <w:rPr>
                <w:noProof/>
                <w:webHidden/>
              </w:rPr>
              <w:instrText xml:space="preserve"> PAGEREF _Toc17201207 \h </w:instrText>
            </w:r>
            <w:r w:rsidR="00BD4037">
              <w:rPr>
                <w:noProof/>
                <w:webHidden/>
              </w:rPr>
            </w:r>
            <w:r w:rsidR="00BD4037">
              <w:rPr>
                <w:noProof/>
                <w:webHidden/>
              </w:rPr>
              <w:fldChar w:fldCharType="separate"/>
            </w:r>
            <w:r w:rsidR="00C012A9">
              <w:rPr>
                <w:noProof/>
                <w:webHidden/>
              </w:rPr>
              <w:t>36</w:t>
            </w:r>
            <w:r w:rsidR="00BD4037">
              <w:rPr>
                <w:noProof/>
                <w:webHidden/>
              </w:rPr>
              <w:fldChar w:fldCharType="end"/>
            </w:r>
          </w:hyperlink>
        </w:p>
        <w:p w14:paraId="0A40FC68" w14:textId="0B320CC6" w:rsidR="00BD4037" w:rsidRDefault="001564A9">
          <w:pPr>
            <w:pStyle w:val="TOC2"/>
            <w:tabs>
              <w:tab w:val="right" w:leader="dot" w:pos="9350"/>
            </w:tabs>
            <w:rPr>
              <w:rFonts w:asciiTheme="minorHAnsi" w:eastAsiaTheme="minorEastAsia" w:hAnsiTheme="minorHAnsi"/>
              <w:noProof/>
            </w:rPr>
          </w:pPr>
          <w:hyperlink w:anchor="_Toc17201208" w:history="1">
            <w:r w:rsidR="00BD4037" w:rsidRPr="00B92C94">
              <w:rPr>
                <w:rStyle w:val="Hyperlink"/>
                <w:noProof/>
              </w:rPr>
              <w:t>(3) Additional Controls for Future Years</w:t>
            </w:r>
            <w:r w:rsidR="00BD4037">
              <w:rPr>
                <w:noProof/>
                <w:webHidden/>
              </w:rPr>
              <w:tab/>
            </w:r>
            <w:r w:rsidR="00BD4037">
              <w:rPr>
                <w:noProof/>
                <w:webHidden/>
              </w:rPr>
              <w:fldChar w:fldCharType="begin"/>
            </w:r>
            <w:r w:rsidR="00BD4037">
              <w:rPr>
                <w:noProof/>
                <w:webHidden/>
              </w:rPr>
              <w:instrText xml:space="preserve"> PAGEREF _Toc17201208 \h </w:instrText>
            </w:r>
            <w:r w:rsidR="00BD4037">
              <w:rPr>
                <w:noProof/>
                <w:webHidden/>
              </w:rPr>
            </w:r>
            <w:r w:rsidR="00BD4037">
              <w:rPr>
                <w:noProof/>
                <w:webHidden/>
              </w:rPr>
              <w:fldChar w:fldCharType="separate"/>
            </w:r>
            <w:r w:rsidR="00C012A9">
              <w:rPr>
                <w:noProof/>
                <w:webHidden/>
              </w:rPr>
              <w:t>38</w:t>
            </w:r>
            <w:r w:rsidR="00BD4037">
              <w:rPr>
                <w:noProof/>
                <w:webHidden/>
              </w:rPr>
              <w:fldChar w:fldCharType="end"/>
            </w:r>
          </w:hyperlink>
        </w:p>
        <w:p w14:paraId="7A1FDB8D" w14:textId="735826BF" w:rsidR="00BD4037" w:rsidRDefault="001564A9">
          <w:pPr>
            <w:pStyle w:val="TOC2"/>
            <w:tabs>
              <w:tab w:val="right" w:leader="dot" w:pos="9350"/>
            </w:tabs>
            <w:rPr>
              <w:rFonts w:asciiTheme="minorHAnsi" w:eastAsiaTheme="minorEastAsia" w:hAnsiTheme="minorHAnsi"/>
              <w:noProof/>
            </w:rPr>
          </w:pPr>
          <w:hyperlink w:anchor="_Toc17201209" w:history="1">
            <w:r w:rsidR="00BD4037" w:rsidRPr="00B92C94">
              <w:rPr>
                <w:rStyle w:val="Hyperlink"/>
                <w:noProof/>
              </w:rPr>
              <w:t>(4) Mobile Source Budget for Purposes of Conformity</w:t>
            </w:r>
            <w:r w:rsidR="00BD4037">
              <w:rPr>
                <w:noProof/>
                <w:webHidden/>
              </w:rPr>
              <w:tab/>
            </w:r>
            <w:r w:rsidR="00BD4037">
              <w:rPr>
                <w:noProof/>
                <w:webHidden/>
              </w:rPr>
              <w:fldChar w:fldCharType="begin"/>
            </w:r>
            <w:r w:rsidR="00BD4037">
              <w:rPr>
                <w:noProof/>
                <w:webHidden/>
              </w:rPr>
              <w:instrText xml:space="preserve"> PAGEREF _Toc17201209 \h </w:instrText>
            </w:r>
            <w:r w:rsidR="00BD4037">
              <w:rPr>
                <w:noProof/>
                <w:webHidden/>
              </w:rPr>
            </w:r>
            <w:r w:rsidR="00BD4037">
              <w:rPr>
                <w:noProof/>
                <w:webHidden/>
              </w:rPr>
              <w:fldChar w:fldCharType="separate"/>
            </w:r>
            <w:r w:rsidR="00C012A9">
              <w:rPr>
                <w:noProof/>
                <w:webHidden/>
              </w:rPr>
              <w:t>38</w:t>
            </w:r>
            <w:r w:rsidR="00BD4037">
              <w:rPr>
                <w:noProof/>
                <w:webHidden/>
              </w:rPr>
              <w:fldChar w:fldCharType="end"/>
            </w:r>
          </w:hyperlink>
        </w:p>
        <w:p w14:paraId="3336A2C8" w14:textId="2262AB29" w:rsidR="00BD4037" w:rsidRDefault="001564A9">
          <w:pPr>
            <w:pStyle w:val="TOC3"/>
            <w:tabs>
              <w:tab w:val="right" w:leader="dot" w:pos="9350"/>
            </w:tabs>
            <w:rPr>
              <w:rFonts w:asciiTheme="minorHAnsi" w:eastAsiaTheme="minorEastAsia" w:hAnsiTheme="minorHAnsi"/>
              <w:noProof/>
            </w:rPr>
          </w:pPr>
          <w:hyperlink w:anchor="_Toc17201210" w:history="1">
            <w:r w:rsidR="00BD4037" w:rsidRPr="00B92C94">
              <w:rPr>
                <w:rStyle w:val="Hyperlink"/>
                <w:noProof/>
              </w:rPr>
              <w:t>(a) Mobile Source PM</w:t>
            </w:r>
            <w:r w:rsidR="00BD4037" w:rsidRPr="00B92C94">
              <w:rPr>
                <w:rStyle w:val="Hyperlink"/>
                <w:noProof/>
                <w:vertAlign w:val="subscript"/>
              </w:rPr>
              <w:t>2.5</w:t>
            </w:r>
            <w:r w:rsidR="00BD4037" w:rsidRPr="00B92C94">
              <w:rPr>
                <w:rStyle w:val="Hyperlink"/>
                <w:noProof/>
              </w:rPr>
              <w:t xml:space="preserve"> Emissions Budgets</w:t>
            </w:r>
            <w:r w:rsidR="00BD4037">
              <w:rPr>
                <w:noProof/>
                <w:webHidden/>
              </w:rPr>
              <w:tab/>
            </w:r>
            <w:r w:rsidR="00BD4037">
              <w:rPr>
                <w:noProof/>
                <w:webHidden/>
              </w:rPr>
              <w:fldChar w:fldCharType="begin"/>
            </w:r>
            <w:r w:rsidR="00BD4037">
              <w:rPr>
                <w:noProof/>
                <w:webHidden/>
              </w:rPr>
              <w:instrText xml:space="preserve"> PAGEREF _Toc17201210 \h </w:instrText>
            </w:r>
            <w:r w:rsidR="00BD4037">
              <w:rPr>
                <w:noProof/>
                <w:webHidden/>
              </w:rPr>
            </w:r>
            <w:r w:rsidR="00BD4037">
              <w:rPr>
                <w:noProof/>
                <w:webHidden/>
              </w:rPr>
              <w:fldChar w:fldCharType="separate"/>
            </w:r>
            <w:r w:rsidR="00C012A9">
              <w:rPr>
                <w:noProof/>
                <w:webHidden/>
              </w:rPr>
              <w:t>39</w:t>
            </w:r>
            <w:r w:rsidR="00BD4037">
              <w:rPr>
                <w:noProof/>
                <w:webHidden/>
              </w:rPr>
              <w:fldChar w:fldCharType="end"/>
            </w:r>
          </w:hyperlink>
        </w:p>
        <w:p w14:paraId="520F92DE" w14:textId="2BEB4FF7" w:rsidR="00BD4037" w:rsidRDefault="001564A9">
          <w:pPr>
            <w:pStyle w:val="TOC4"/>
            <w:tabs>
              <w:tab w:val="left" w:pos="1100"/>
              <w:tab w:val="right" w:leader="dot" w:pos="9350"/>
            </w:tabs>
            <w:rPr>
              <w:rFonts w:asciiTheme="minorHAnsi" w:eastAsiaTheme="minorEastAsia" w:hAnsiTheme="minorHAnsi"/>
              <w:noProof/>
            </w:rPr>
          </w:pPr>
          <w:hyperlink w:anchor="_Toc17201211" w:history="1">
            <w:r w:rsidR="00BD4037" w:rsidRPr="00B92C94">
              <w:rPr>
                <w:rStyle w:val="Hyperlink"/>
                <w:noProof/>
              </w:rPr>
              <w:t>i.</w:t>
            </w:r>
            <w:r w:rsidR="00BD4037">
              <w:rPr>
                <w:rFonts w:asciiTheme="minorHAnsi" w:eastAsiaTheme="minorEastAsia" w:hAnsiTheme="minorHAnsi"/>
                <w:noProof/>
              </w:rPr>
              <w:tab/>
            </w:r>
            <w:r w:rsidR="00BD4037" w:rsidRPr="00B92C94">
              <w:rPr>
                <w:rStyle w:val="Hyperlink"/>
                <w:noProof/>
              </w:rPr>
              <w:t>Direct PM</w:t>
            </w:r>
            <w:r w:rsidR="00BD4037" w:rsidRPr="00B92C94">
              <w:rPr>
                <w:rStyle w:val="Hyperlink"/>
                <w:noProof/>
                <w:vertAlign w:val="subscript"/>
              </w:rPr>
              <w:t>2.5</w:t>
            </w:r>
            <w:r w:rsidR="00BD4037" w:rsidRPr="00B92C94">
              <w:rPr>
                <w:rStyle w:val="Hyperlink"/>
                <w:noProof/>
              </w:rPr>
              <w:t>, NO</w:t>
            </w:r>
            <w:r w:rsidR="00BD4037" w:rsidRPr="00B92C94">
              <w:rPr>
                <w:rStyle w:val="Hyperlink"/>
                <w:noProof/>
                <w:vertAlign w:val="subscript"/>
              </w:rPr>
              <w:t>x</w:t>
            </w:r>
            <w:r w:rsidR="00BD4037" w:rsidRPr="00B92C94">
              <w:rPr>
                <w:rStyle w:val="Hyperlink"/>
                <w:noProof/>
              </w:rPr>
              <w:t>, and VOC</w:t>
            </w:r>
            <w:r w:rsidR="00BD4037">
              <w:rPr>
                <w:noProof/>
                <w:webHidden/>
              </w:rPr>
              <w:tab/>
            </w:r>
            <w:r w:rsidR="00BD4037">
              <w:rPr>
                <w:noProof/>
                <w:webHidden/>
              </w:rPr>
              <w:fldChar w:fldCharType="begin"/>
            </w:r>
            <w:r w:rsidR="00BD4037">
              <w:rPr>
                <w:noProof/>
                <w:webHidden/>
              </w:rPr>
              <w:instrText xml:space="preserve"> PAGEREF _Toc17201211 \h </w:instrText>
            </w:r>
            <w:r w:rsidR="00BD4037">
              <w:rPr>
                <w:noProof/>
                <w:webHidden/>
              </w:rPr>
            </w:r>
            <w:r w:rsidR="00BD4037">
              <w:rPr>
                <w:noProof/>
                <w:webHidden/>
              </w:rPr>
              <w:fldChar w:fldCharType="separate"/>
            </w:r>
            <w:r w:rsidR="00C012A9">
              <w:rPr>
                <w:noProof/>
                <w:webHidden/>
              </w:rPr>
              <w:t>39</w:t>
            </w:r>
            <w:r w:rsidR="00BD4037">
              <w:rPr>
                <w:noProof/>
                <w:webHidden/>
              </w:rPr>
              <w:fldChar w:fldCharType="end"/>
            </w:r>
          </w:hyperlink>
        </w:p>
        <w:p w14:paraId="3A82420A" w14:textId="095E6000" w:rsidR="00BD4037" w:rsidRDefault="001564A9">
          <w:pPr>
            <w:pStyle w:val="TOC4"/>
            <w:tabs>
              <w:tab w:val="left" w:pos="1100"/>
              <w:tab w:val="right" w:leader="dot" w:pos="9350"/>
            </w:tabs>
            <w:rPr>
              <w:rFonts w:asciiTheme="minorHAnsi" w:eastAsiaTheme="minorEastAsia" w:hAnsiTheme="minorHAnsi"/>
              <w:noProof/>
            </w:rPr>
          </w:pPr>
          <w:hyperlink w:anchor="_Toc17201212" w:history="1">
            <w:r w:rsidR="00BD4037" w:rsidRPr="00B92C94">
              <w:rPr>
                <w:rStyle w:val="Hyperlink"/>
                <w:noProof/>
              </w:rPr>
              <w:t>ii.</w:t>
            </w:r>
            <w:r w:rsidR="00BD4037">
              <w:rPr>
                <w:rFonts w:asciiTheme="minorHAnsi" w:eastAsiaTheme="minorEastAsia" w:hAnsiTheme="minorHAnsi"/>
                <w:noProof/>
              </w:rPr>
              <w:tab/>
            </w:r>
            <w:r w:rsidR="00BD4037" w:rsidRPr="00B92C94">
              <w:rPr>
                <w:rStyle w:val="Hyperlink"/>
                <w:noProof/>
              </w:rPr>
              <w:t>Trading Ratios for Transportation Conformity</w:t>
            </w:r>
            <w:r w:rsidR="00BD4037">
              <w:rPr>
                <w:noProof/>
                <w:webHidden/>
              </w:rPr>
              <w:tab/>
            </w:r>
            <w:r w:rsidR="00BD4037">
              <w:rPr>
                <w:noProof/>
                <w:webHidden/>
              </w:rPr>
              <w:fldChar w:fldCharType="begin"/>
            </w:r>
            <w:r w:rsidR="00BD4037">
              <w:rPr>
                <w:noProof/>
                <w:webHidden/>
              </w:rPr>
              <w:instrText xml:space="preserve"> PAGEREF _Toc17201212 \h </w:instrText>
            </w:r>
            <w:r w:rsidR="00BD4037">
              <w:rPr>
                <w:noProof/>
                <w:webHidden/>
              </w:rPr>
            </w:r>
            <w:r w:rsidR="00BD4037">
              <w:rPr>
                <w:noProof/>
                <w:webHidden/>
              </w:rPr>
              <w:fldChar w:fldCharType="separate"/>
            </w:r>
            <w:r w:rsidR="00C012A9">
              <w:rPr>
                <w:noProof/>
                <w:webHidden/>
              </w:rPr>
              <w:t>41</w:t>
            </w:r>
            <w:r w:rsidR="00BD4037">
              <w:rPr>
                <w:noProof/>
                <w:webHidden/>
              </w:rPr>
              <w:fldChar w:fldCharType="end"/>
            </w:r>
          </w:hyperlink>
        </w:p>
        <w:p w14:paraId="322C48FC" w14:textId="77C09294" w:rsidR="00BD4037" w:rsidRDefault="001564A9">
          <w:pPr>
            <w:pStyle w:val="TOC2"/>
            <w:tabs>
              <w:tab w:val="right" w:leader="dot" w:pos="9350"/>
            </w:tabs>
            <w:rPr>
              <w:rFonts w:asciiTheme="minorHAnsi" w:eastAsiaTheme="minorEastAsia" w:hAnsiTheme="minorHAnsi"/>
              <w:noProof/>
            </w:rPr>
          </w:pPr>
          <w:hyperlink w:anchor="_Toc17201213" w:history="1">
            <w:r w:rsidR="00BD4037" w:rsidRPr="00B92C94">
              <w:rPr>
                <w:rStyle w:val="Hyperlink"/>
                <w:noProof/>
              </w:rPr>
              <w:t>(5) Nonattainment Requirements Applicable Pending Plan Approval</w:t>
            </w:r>
            <w:r w:rsidR="00BD4037">
              <w:rPr>
                <w:noProof/>
                <w:webHidden/>
              </w:rPr>
              <w:tab/>
            </w:r>
            <w:r w:rsidR="00BD4037">
              <w:rPr>
                <w:noProof/>
                <w:webHidden/>
              </w:rPr>
              <w:fldChar w:fldCharType="begin"/>
            </w:r>
            <w:r w:rsidR="00BD4037">
              <w:rPr>
                <w:noProof/>
                <w:webHidden/>
              </w:rPr>
              <w:instrText xml:space="preserve"> PAGEREF _Toc17201213 \h </w:instrText>
            </w:r>
            <w:r w:rsidR="00BD4037">
              <w:rPr>
                <w:noProof/>
                <w:webHidden/>
              </w:rPr>
            </w:r>
            <w:r w:rsidR="00BD4037">
              <w:rPr>
                <w:noProof/>
                <w:webHidden/>
              </w:rPr>
              <w:fldChar w:fldCharType="separate"/>
            </w:r>
            <w:r w:rsidR="00C012A9">
              <w:rPr>
                <w:noProof/>
                <w:webHidden/>
              </w:rPr>
              <w:t>41</w:t>
            </w:r>
            <w:r w:rsidR="00BD4037">
              <w:rPr>
                <w:noProof/>
                <w:webHidden/>
              </w:rPr>
              <w:fldChar w:fldCharType="end"/>
            </w:r>
          </w:hyperlink>
        </w:p>
        <w:p w14:paraId="67F8ACBB" w14:textId="4D53D17B" w:rsidR="00BD4037" w:rsidRDefault="001564A9">
          <w:pPr>
            <w:pStyle w:val="TOC2"/>
            <w:tabs>
              <w:tab w:val="right" w:leader="dot" w:pos="9350"/>
            </w:tabs>
            <w:rPr>
              <w:rFonts w:asciiTheme="minorHAnsi" w:eastAsiaTheme="minorEastAsia" w:hAnsiTheme="minorHAnsi"/>
              <w:noProof/>
            </w:rPr>
          </w:pPr>
          <w:hyperlink w:anchor="_Toc17201214" w:history="1">
            <w:r w:rsidR="00BD4037" w:rsidRPr="00B92C94">
              <w:rPr>
                <w:rStyle w:val="Hyperlink"/>
                <w:noProof/>
              </w:rPr>
              <w:t>(6) Revise in Eight Years</w:t>
            </w:r>
            <w:r w:rsidR="00BD4037">
              <w:rPr>
                <w:noProof/>
                <w:webHidden/>
              </w:rPr>
              <w:tab/>
            </w:r>
            <w:r w:rsidR="00BD4037">
              <w:rPr>
                <w:noProof/>
                <w:webHidden/>
              </w:rPr>
              <w:fldChar w:fldCharType="begin"/>
            </w:r>
            <w:r w:rsidR="00BD4037">
              <w:rPr>
                <w:noProof/>
                <w:webHidden/>
              </w:rPr>
              <w:instrText xml:space="preserve"> PAGEREF _Toc17201214 \h </w:instrText>
            </w:r>
            <w:r w:rsidR="00BD4037">
              <w:rPr>
                <w:noProof/>
                <w:webHidden/>
              </w:rPr>
            </w:r>
            <w:r w:rsidR="00BD4037">
              <w:rPr>
                <w:noProof/>
                <w:webHidden/>
              </w:rPr>
              <w:fldChar w:fldCharType="separate"/>
            </w:r>
            <w:r w:rsidR="00C012A9">
              <w:rPr>
                <w:noProof/>
                <w:webHidden/>
              </w:rPr>
              <w:t>41</w:t>
            </w:r>
            <w:r w:rsidR="00BD4037">
              <w:rPr>
                <w:noProof/>
                <w:webHidden/>
              </w:rPr>
              <w:fldChar w:fldCharType="end"/>
            </w:r>
          </w:hyperlink>
        </w:p>
        <w:p w14:paraId="4A07832F" w14:textId="2301F391" w:rsidR="00BD4037" w:rsidRDefault="001564A9">
          <w:pPr>
            <w:pStyle w:val="TOC2"/>
            <w:tabs>
              <w:tab w:val="right" w:leader="dot" w:pos="9350"/>
            </w:tabs>
            <w:rPr>
              <w:rFonts w:asciiTheme="minorHAnsi" w:eastAsiaTheme="minorEastAsia" w:hAnsiTheme="minorHAnsi"/>
              <w:noProof/>
            </w:rPr>
          </w:pPr>
          <w:hyperlink w:anchor="_Toc17201215" w:history="1">
            <w:r w:rsidR="00BD4037" w:rsidRPr="00B92C94">
              <w:rPr>
                <w:rStyle w:val="Hyperlink"/>
                <w:noProof/>
              </w:rPr>
              <w:t>(7) Verification of Continued Maintenance and Monitoring</w:t>
            </w:r>
            <w:r w:rsidR="00BD4037">
              <w:rPr>
                <w:noProof/>
                <w:webHidden/>
              </w:rPr>
              <w:tab/>
            </w:r>
            <w:r w:rsidR="00BD4037">
              <w:rPr>
                <w:noProof/>
                <w:webHidden/>
              </w:rPr>
              <w:fldChar w:fldCharType="begin"/>
            </w:r>
            <w:r w:rsidR="00BD4037">
              <w:rPr>
                <w:noProof/>
                <w:webHidden/>
              </w:rPr>
              <w:instrText xml:space="preserve"> PAGEREF _Toc17201215 \h </w:instrText>
            </w:r>
            <w:r w:rsidR="00BD4037">
              <w:rPr>
                <w:noProof/>
                <w:webHidden/>
              </w:rPr>
            </w:r>
            <w:r w:rsidR="00BD4037">
              <w:rPr>
                <w:noProof/>
                <w:webHidden/>
              </w:rPr>
              <w:fldChar w:fldCharType="separate"/>
            </w:r>
            <w:r w:rsidR="00C012A9">
              <w:rPr>
                <w:noProof/>
                <w:webHidden/>
              </w:rPr>
              <w:t>41</w:t>
            </w:r>
            <w:r w:rsidR="00BD4037">
              <w:rPr>
                <w:noProof/>
                <w:webHidden/>
              </w:rPr>
              <w:fldChar w:fldCharType="end"/>
            </w:r>
          </w:hyperlink>
        </w:p>
        <w:p w14:paraId="1D408894" w14:textId="5004E63D" w:rsidR="00BD4037" w:rsidRDefault="001564A9">
          <w:pPr>
            <w:pStyle w:val="TOC2"/>
            <w:tabs>
              <w:tab w:val="right" w:leader="dot" w:pos="9350"/>
            </w:tabs>
            <w:rPr>
              <w:rFonts w:asciiTheme="minorHAnsi" w:eastAsiaTheme="minorEastAsia" w:hAnsiTheme="minorHAnsi"/>
              <w:noProof/>
            </w:rPr>
          </w:pPr>
          <w:hyperlink w:anchor="_Toc17201216" w:history="1">
            <w:r w:rsidR="00BD4037" w:rsidRPr="00B92C94">
              <w:rPr>
                <w:rStyle w:val="Hyperlink"/>
                <w:noProof/>
              </w:rPr>
              <w:t>(8) Contingency Plan</w:t>
            </w:r>
            <w:r w:rsidR="00BD4037">
              <w:rPr>
                <w:noProof/>
                <w:webHidden/>
              </w:rPr>
              <w:tab/>
            </w:r>
            <w:r w:rsidR="00BD4037">
              <w:rPr>
                <w:noProof/>
                <w:webHidden/>
              </w:rPr>
              <w:fldChar w:fldCharType="begin"/>
            </w:r>
            <w:r w:rsidR="00BD4037">
              <w:rPr>
                <w:noProof/>
                <w:webHidden/>
              </w:rPr>
              <w:instrText xml:space="preserve"> PAGEREF _Toc17201216 \h </w:instrText>
            </w:r>
            <w:r w:rsidR="00BD4037">
              <w:rPr>
                <w:noProof/>
                <w:webHidden/>
              </w:rPr>
            </w:r>
            <w:r w:rsidR="00BD4037">
              <w:rPr>
                <w:noProof/>
                <w:webHidden/>
              </w:rPr>
              <w:fldChar w:fldCharType="separate"/>
            </w:r>
            <w:r w:rsidR="00C012A9">
              <w:rPr>
                <w:noProof/>
                <w:webHidden/>
              </w:rPr>
              <w:t>42</w:t>
            </w:r>
            <w:r w:rsidR="00BD4037">
              <w:rPr>
                <w:noProof/>
                <w:webHidden/>
              </w:rPr>
              <w:fldChar w:fldCharType="end"/>
            </w:r>
          </w:hyperlink>
        </w:p>
        <w:p w14:paraId="4FC45BD3" w14:textId="44C5E6BF" w:rsidR="00BD4037" w:rsidRDefault="001564A9">
          <w:pPr>
            <w:pStyle w:val="TOC3"/>
            <w:tabs>
              <w:tab w:val="right" w:leader="dot" w:pos="9350"/>
            </w:tabs>
            <w:rPr>
              <w:rFonts w:asciiTheme="minorHAnsi" w:eastAsiaTheme="minorEastAsia" w:hAnsiTheme="minorHAnsi"/>
              <w:noProof/>
            </w:rPr>
          </w:pPr>
          <w:hyperlink w:anchor="_Toc17201217" w:history="1">
            <w:r w:rsidR="00BD4037" w:rsidRPr="00B92C94">
              <w:rPr>
                <w:rStyle w:val="Hyperlink"/>
                <w:noProof/>
              </w:rPr>
              <w:t>(a) List of Potential Contingency Measures</w:t>
            </w:r>
            <w:r w:rsidR="00BD4037">
              <w:rPr>
                <w:noProof/>
                <w:webHidden/>
              </w:rPr>
              <w:tab/>
            </w:r>
            <w:r w:rsidR="00BD4037">
              <w:rPr>
                <w:noProof/>
                <w:webHidden/>
              </w:rPr>
              <w:fldChar w:fldCharType="begin"/>
            </w:r>
            <w:r w:rsidR="00BD4037">
              <w:rPr>
                <w:noProof/>
                <w:webHidden/>
              </w:rPr>
              <w:instrText xml:space="preserve"> PAGEREF _Toc17201217 \h </w:instrText>
            </w:r>
            <w:r w:rsidR="00BD4037">
              <w:rPr>
                <w:noProof/>
                <w:webHidden/>
              </w:rPr>
            </w:r>
            <w:r w:rsidR="00BD4037">
              <w:rPr>
                <w:noProof/>
                <w:webHidden/>
              </w:rPr>
              <w:fldChar w:fldCharType="separate"/>
            </w:r>
            <w:r w:rsidR="00C012A9">
              <w:rPr>
                <w:noProof/>
                <w:webHidden/>
              </w:rPr>
              <w:t>42</w:t>
            </w:r>
            <w:r w:rsidR="00BD4037">
              <w:rPr>
                <w:noProof/>
                <w:webHidden/>
              </w:rPr>
              <w:fldChar w:fldCharType="end"/>
            </w:r>
          </w:hyperlink>
        </w:p>
        <w:p w14:paraId="3B038120" w14:textId="534F44A2" w:rsidR="00BD4037" w:rsidRDefault="001564A9">
          <w:pPr>
            <w:pStyle w:val="TOC3"/>
            <w:tabs>
              <w:tab w:val="right" w:leader="dot" w:pos="9350"/>
            </w:tabs>
            <w:rPr>
              <w:rFonts w:asciiTheme="minorHAnsi" w:eastAsiaTheme="minorEastAsia" w:hAnsiTheme="minorHAnsi"/>
              <w:noProof/>
            </w:rPr>
          </w:pPr>
          <w:hyperlink w:anchor="_Toc17201218" w:history="1">
            <w:r w:rsidR="00BD4037" w:rsidRPr="00B92C94">
              <w:rPr>
                <w:rStyle w:val="Hyperlink"/>
                <w:noProof/>
              </w:rPr>
              <w:t>(b) Tracking</w:t>
            </w:r>
            <w:r w:rsidR="00BD4037">
              <w:rPr>
                <w:noProof/>
                <w:webHidden/>
              </w:rPr>
              <w:tab/>
            </w:r>
            <w:r w:rsidR="00BD4037">
              <w:rPr>
                <w:noProof/>
                <w:webHidden/>
              </w:rPr>
              <w:fldChar w:fldCharType="begin"/>
            </w:r>
            <w:r w:rsidR="00BD4037">
              <w:rPr>
                <w:noProof/>
                <w:webHidden/>
              </w:rPr>
              <w:instrText xml:space="preserve"> PAGEREF _Toc17201218 \h </w:instrText>
            </w:r>
            <w:r w:rsidR="00BD4037">
              <w:rPr>
                <w:noProof/>
                <w:webHidden/>
              </w:rPr>
            </w:r>
            <w:r w:rsidR="00BD4037">
              <w:rPr>
                <w:noProof/>
                <w:webHidden/>
              </w:rPr>
              <w:fldChar w:fldCharType="separate"/>
            </w:r>
            <w:r w:rsidR="00C012A9">
              <w:rPr>
                <w:noProof/>
                <w:webHidden/>
              </w:rPr>
              <w:t>43</w:t>
            </w:r>
            <w:r w:rsidR="00BD4037">
              <w:rPr>
                <w:noProof/>
                <w:webHidden/>
              </w:rPr>
              <w:fldChar w:fldCharType="end"/>
            </w:r>
          </w:hyperlink>
        </w:p>
        <w:p w14:paraId="107D6971" w14:textId="24DA1BB7" w:rsidR="00BD4037" w:rsidRDefault="001564A9">
          <w:pPr>
            <w:pStyle w:val="TOC3"/>
            <w:tabs>
              <w:tab w:val="right" w:leader="dot" w:pos="9350"/>
            </w:tabs>
            <w:rPr>
              <w:rFonts w:asciiTheme="minorHAnsi" w:eastAsiaTheme="minorEastAsia" w:hAnsiTheme="minorHAnsi"/>
              <w:noProof/>
            </w:rPr>
          </w:pPr>
          <w:hyperlink w:anchor="_Toc17201219" w:history="1">
            <w:r w:rsidR="00BD4037" w:rsidRPr="00B92C94">
              <w:rPr>
                <w:rStyle w:val="Hyperlink"/>
                <w:noProof/>
              </w:rPr>
              <w:t>(c) Triggering</w:t>
            </w:r>
            <w:r w:rsidR="00BD4037">
              <w:rPr>
                <w:noProof/>
                <w:webHidden/>
              </w:rPr>
              <w:tab/>
            </w:r>
            <w:r w:rsidR="00BD4037">
              <w:rPr>
                <w:noProof/>
                <w:webHidden/>
              </w:rPr>
              <w:fldChar w:fldCharType="begin"/>
            </w:r>
            <w:r w:rsidR="00BD4037">
              <w:rPr>
                <w:noProof/>
                <w:webHidden/>
              </w:rPr>
              <w:instrText xml:space="preserve"> PAGEREF _Toc17201219 \h </w:instrText>
            </w:r>
            <w:r w:rsidR="00BD4037">
              <w:rPr>
                <w:noProof/>
                <w:webHidden/>
              </w:rPr>
            </w:r>
            <w:r w:rsidR="00BD4037">
              <w:rPr>
                <w:noProof/>
                <w:webHidden/>
              </w:rPr>
              <w:fldChar w:fldCharType="separate"/>
            </w:r>
            <w:r w:rsidR="00C012A9">
              <w:rPr>
                <w:noProof/>
                <w:webHidden/>
              </w:rPr>
              <w:t>43</w:t>
            </w:r>
            <w:r w:rsidR="00BD4037">
              <w:rPr>
                <w:noProof/>
                <w:webHidden/>
              </w:rPr>
              <w:fldChar w:fldCharType="end"/>
            </w:r>
          </w:hyperlink>
        </w:p>
        <w:p w14:paraId="6AEEC6E7" w14:textId="0ED83797" w:rsidR="00A0535E" w:rsidRDefault="004B312A">
          <w:r>
            <w:fldChar w:fldCharType="end"/>
          </w:r>
        </w:p>
      </w:sdtContent>
    </w:sdt>
    <w:p w14:paraId="2EE5CEA2" w14:textId="77777777" w:rsidR="002F7095" w:rsidRDefault="002F7095" w:rsidP="002F7095">
      <w:r>
        <w:rPr>
          <w:rFonts w:ascii="Arial" w:hAnsi="Arial" w:cs="Arial"/>
          <w:b/>
          <w:sz w:val="28"/>
          <w:szCs w:val="28"/>
        </w:rPr>
        <w:t>List</w:t>
      </w:r>
      <w:r w:rsidRPr="00A81577">
        <w:rPr>
          <w:rFonts w:ascii="Arial" w:hAnsi="Arial" w:cs="Arial"/>
          <w:b/>
          <w:sz w:val="28"/>
          <w:szCs w:val="28"/>
        </w:rPr>
        <w:t xml:space="preserve"> of </w:t>
      </w:r>
      <w:r>
        <w:rPr>
          <w:rFonts w:ascii="Arial" w:hAnsi="Arial" w:cs="Arial"/>
          <w:b/>
          <w:sz w:val="28"/>
          <w:szCs w:val="28"/>
        </w:rPr>
        <w:t>Tables</w:t>
      </w:r>
    </w:p>
    <w:p w14:paraId="4D2D8D05" w14:textId="60C9E00D" w:rsidR="00BD4037" w:rsidRDefault="00B1647C">
      <w:pPr>
        <w:pStyle w:val="TableofFigures"/>
        <w:tabs>
          <w:tab w:val="right" w:leader="dot" w:pos="9350"/>
        </w:tabs>
        <w:rPr>
          <w:rFonts w:asciiTheme="minorHAnsi" w:eastAsiaTheme="minorEastAsia" w:hAnsiTheme="minorHAnsi"/>
          <w:noProof/>
        </w:rPr>
      </w:pPr>
      <w:r>
        <w:fldChar w:fldCharType="begin"/>
      </w:r>
      <w:r>
        <w:instrText xml:space="preserve"> TOC \c "Table IX.A.27." </w:instrText>
      </w:r>
      <w:r>
        <w:fldChar w:fldCharType="separate"/>
      </w:r>
      <w:r w:rsidR="00BD4037">
        <w:rPr>
          <w:noProof/>
        </w:rPr>
        <w:t>Table IX.A.27. 1 Prerequisites to Redesignation in the Federal Clean Air Act</w:t>
      </w:r>
      <w:r w:rsidR="00BD4037">
        <w:rPr>
          <w:noProof/>
        </w:rPr>
        <w:tab/>
      </w:r>
      <w:r w:rsidR="00BD4037">
        <w:rPr>
          <w:noProof/>
        </w:rPr>
        <w:fldChar w:fldCharType="begin"/>
      </w:r>
      <w:r w:rsidR="00BD4037">
        <w:rPr>
          <w:noProof/>
        </w:rPr>
        <w:instrText xml:space="preserve"> PAGEREF _Toc17201275 \h </w:instrText>
      </w:r>
      <w:r w:rsidR="00BD4037">
        <w:rPr>
          <w:noProof/>
        </w:rPr>
      </w:r>
      <w:r w:rsidR="00BD4037">
        <w:rPr>
          <w:noProof/>
        </w:rPr>
        <w:fldChar w:fldCharType="separate"/>
      </w:r>
      <w:r w:rsidR="00C012A9">
        <w:rPr>
          <w:noProof/>
        </w:rPr>
        <w:t>3</w:t>
      </w:r>
      <w:r w:rsidR="00BD4037">
        <w:rPr>
          <w:noProof/>
        </w:rPr>
        <w:fldChar w:fldCharType="end"/>
      </w:r>
    </w:p>
    <w:p w14:paraId="6787C83D" w14:textId="4D0CC691" w:rsidR="00BD4037" w:rsidRDefault="00BD4037">
      <w:pPr>
        <w:pStyle w:val="TableofFigures"/>
        <w:tabs>
          <w:tab w:val="right" w:leader="dot" w:pos="9350"/>
        </w:tabs>
        <w:rPr>
          <w:rFonts w:asciiTheme="minorHAnsi" w:eastAsiaTheme="minorEastAsia" w:hAnsiTheme="minorHAnsi"/>
          <w:noProof/>
        </w:rPr>
      </w:pPr>
      <w:r>
        <w:rPr>
          <w:noProof/>
        </w:rPr>
        <w:t>Table IX.A.27. 2 Monitored Ambient 24-hr PM</w:t>
      </w:r>
      <w:r w:rsidRPr="00527778">
        <w:rPr>
          <w:noProof/>
          <w:vertAlign w:val="subscript"/>
        </w:rPr>
        <w:t>2.5</w:t>
      </w:r>
      <w:r>
        <w:rPr>
          <w:noProof/>
        </w:rPr>
        <w:t xml:space="preserve"> Data</w:t>
      </w:r>
      <w:r>
        <w:rPr>
          <w:noProof/>
        </w:rPr>
        <w:tab/>
      </w:r>
      <w:r>
        <w:rPr>
          <w:noProof/>
        </w:rPr>
        <w:fldChar w:fldCharType="begin"/>
      </w:r>
      <w:r>
        <w:rPr>
          <w:noProof/>
        </w:rPr>
        <w:instrText xml:space="preserve"> PAGEREF _Toc17201276 \h </w:instrText>
      </w:r>
      <w:r>
        <w:rPr>
          <w:noProof/>
        </w:rPr>
      </w:r>
      <w:r>
        <w:rPr>
          <w:noProof/>
        </w:rPr>
        <w:fldChar w:fldCharType="separate"/>
      </w:r>
      <w:r w:rsidR="00C012A9">
        <w:rPr>
          <w:noProof/>
        </w:rPr>
        <w:t>5</w:t>
      </w:r>
      <w:r>
        <w:rPr>
          <w:noProof/>
        </w:rPr>
        <w:fldChar w:fldCharType="end"/>
      </w:r>
    </w:p>
    <w:p w14:paraId="5F19BAAE" w14:textId="411A0566" w:rsidR="00BD4037" w:rsidRDefault="00BD4037">
      <w:pPr>
        <w:pStyle w:val="TableofFigures"/>
        <w:tabs>
          <w:tab w:val="right" w:leader="dot" w:pos="9350"/>
        </w:tabs>
        <w:rPr>
          <w:rFonts w:asciiTheme="minorHAnsi" w:eastAsiaTheme="minorEastAsia" w:hAnsiTheme="minorHAnsi"/>
          <w:noProof/>
        </w:rPr>
      </w:pPr>
      <w:r>
        <w:rPr>
          <w:noProof/>
        </w:rPr>
        <w:t>Table IX.A.27. 3 Provo, UT Serious SIP Approval Status</w:t>
      </w:r>
      <w:r>
        <w:rPr>
          <w:noProof/>
        </w:rPr>
        <w:tab/>
      </w:r>
      <w:r>
        <w:rPr>
          <w:noProof/>
        </w:rPr>
        <w:fldChar w:fldCharType="begin"/>
      </w:r>
      <w:r>
        <w:rPr>
          <w:noProof/>
        </w:rPr>
        <w:instrText xml:space="preserve"> PAGEREF _Toc17201277 \h </w:instrText>
      </w:r>
      <w:r>
        <w:rPr>
          <w:noProof/>
        </w:rPr>
      </w:r>
      <w:r>
        <w:rPr>
          <w:noProof/>
        </w:rPr>
        <w:fldChar w:fldCharType="separate"/>
      </w:r>
      <w:r w:rsidR="00C012A9">
        <w:rPr>
          <w:noProof/>
        </w:rPr>
        <w:t>6</w:t>
      </w:r>
      <w:r>
        <w:rPr>
          <w:noProof/>
        </w:rPr>
        <w:fldChar w:fldCharType="end"/>
      </w:r>
    </w:p>
    <w:p w14:paraId="791B7BFA" w14:textId="308F5E7C" w:rsidR="00BD4037" w:rsidRDefault="00BD4037">
      <w:pPr>
        <w:pStyle w:val="TableofFigures"/>
        <w:tabs>
          <w:tab w:val="right" w:leader="dot" w:pos="9350"/>
        </w:tabs>
        <w:rPr>
          <w:rFonts w:asciiTheme="minorHAnsi" w:eastAsiaTheme="minorEastAsia" w:hAnsiTheme="minorHAnsi"/>
          <w:noProof/>
        </w:rPr>
      </w:pPr>
      <w:r>
        <w:rPr>
          <w:noProof/>
        </w:rPr>
        <w:t>Table IX.A.27. 4 Area Source Rules Implementation Schedule and EPA Approval Status</w:t>
      </w:r>
      <w:r>
        <w:rPr>
          <w:noProof/>
        </w:rPr>
        <w:tab/>
      </w:r>
      <w:r>
        <w:rPr>
          <w:noProof/>
        </w:rPr>
        <w:fldChar w:fldCharType="begin"/>
      </w:r>
      <w:r>
        <w:rPr>
          <w:noProof/>
        </w:rPr>
        <w:instrText xml:space="preserve"> PAGEREF _Toc17201278 \h </w:instrText>
      </w:r>
      <w:r>
        <w:rPr>
          <w:noProof/>
        </w:rPr>
      </w:r>
      <w:r>
        <w:rPr>
          <w:noProof/>
        </w:rPr>
        <w:fldChar w:fldCharType="separate"/>
      </w:r>
      <w:r w:rsidR="00C012A9">
        <w:rPr>
          <w:noProof/>
        </w:rPr>
        <w:t>10</w:t>
      </w:r>
      <w:r>
        <w:rPr>
          <w:noProof/>
        </w:rPr>
        <w:fldChar w:fldCharType="end"/>
      </w:r>
    </w:p>
    <w:p w14:paraId="2E700CB3" w14:textId="383878EB" w:rsidR="00BD4037" w:rsidRDefault="00BD4037">
      <w:pPr>
        <w:pStyle w:val="TableofFigures"/>
        <w:tabs>
          <w:tab w:val="right" w:leader="dot" w:pos="9350"/>
        </w:tabs>
        <w:rPr>
          <w:rFonts w:asciiTheme="minorHAnsi" w:eastAsiaTheme="minorEastAsia" w:hAnsiTheme="minorHAnsi"/>
          <w:noProof/>
        </w:rPr>
      </w:pPr>
      <w:r>
        <w:rPr>
          <w:noProof/>
        </w:rPr>
        <w:t>Table IX.A.27. 5 Point Source Emission Control Measure Implementation Schedule and Compliance Mechanism</w:t>
      </w:r>
      <w:r>
        <w:rPr>
          <w:noProof/>
        </w:rPr>
        <w:tab/>
      </w:r>
      <w:r>
        <w:rPr>
          <w:noProof/>
        </w:rPr>
        <w:fldChar w:fldCharType="begin"/>
      </w:r>
      <w:r>
        <w:rPr>
          <w:noProof/>
        </w:rPr>
        <w:instrText xml:space="preserve"> PAGEREF _Toc17201279 \h </w:instrText>
      </w:r>
      <w:r>
        <w:rPr>
          <w:noProof/>
        </w:rPr>
      </w:r>
      <w:r>
        <w:rPr>
          <w:noProof/>
        </w:rPr>
        <w:fldChar w:fldCharType="separate"/>
      </w:r>
      <w:r w:rsidR="00C012A9">
        <w:rPr>
          <w:noProof/>
        </w:rPr>
        <w:t>14</w:t>
      </w:r>
      <w:r>
        <w:rPr>
          <w:noProof/>
        </w:rPr>
        <w:fldChar w:fldCharType="end"/>
      </w:r>
    </w:p>
    <w:p w14:paraId="1BA3F1A4" w14:textId="786FEBC6" w:rsidR="00BD4037" w:rsidRDefault="00BD4037">
      <w:pPr>
        <w:pStyle w:val="TableofFigures"/>
        <w:tabs>
          <w:tab w:val="right" w:leader="dot" w:pos="9350"/>
        </w:tabs>
        <w:rPr>
          <w:rFonts w:asciiTheme="minorHAnsi" w:eastAsiaTheme="minorEastAsia" w:hAnsiTheme="minorHAnsi"/>
          <w:noProof/>
        </w:rPr>
      </w:pPr>
      <w:r>
        <w:rPr>
          <w:noProof/>
        </w:rPr>
        <w:t>Table IX.A.27. 6 Area Source Rule Emissions Reduction in Provo NAA</w:t>
      </w:r>
      <w:r>
        <w:rPr>
          <w:noProof/>
        </w:rPr>
        <w:tab/>
      </w:r>
      <w:r>
        <w:rPr>
          <w:noProof/>
        </w:rPr>
        <w:fldChar w:fldCharType="begin"/>
      </w:r>
      <w:r>
        <w:rPr>
          <w:noProof/>
        </w:rPr>
        <w:instrText xml:space="preserve"> PAGEREF _Toc17201280 \h </w:instrText>
      </w:r>
      <w:r>
        <w:rPr>
          <w:noProof/>
        </w:rPr>
      </w:r>
      <w:r>
        <w:rPr>
          <w:noProof/>
        </w:rPr>
        <w:fldChar w:fldCharType="separate"/>
      </w:r>
      <w:r w:rsidR="00C012A9">
        <w:rPr>
          <w:noProof/>
        </w:rPr>
        <w:t>16</w:t>
      </w:r>
      <w:r>
        <w:rPr>
          <w:noProof/>
        </w:rPr>
        <w:fldChar w:fldCharType="end"/>
      </w:r>
    </w:p>
    <w:p w14:paraId="7B79E668" w14:textId="517C4B80" w:rsidR="00BD4037" w:rsidRDefault="00BD4037">
      <w:pPr>
        <w:pStyle w:val="TableofFigures"/>
        <w:tabs>
          <w:tab w:val="right" w:leader="dot" w:pos="9350"/>
        </w:tabs>
        <w:rPr>
          <w:rFonts w:asciiTheme="minorHAnsi" w:eastAsiaTheme="minorEastAsia" w:hAnsiTheme="minorHAnsi"/>
          <w:noProof/>
        </w:rPr>
      </w:pPr>
      <w:r>
        <w:rPr>
          <w:noProof/>
        </w:rPr>
        <w:t>Table IX.A.27. 7 CAA Maintenance Plan Requirements</w:t>
      </w:r>
      <w:r>
        <w:rPr>
          <w:noProof/>
        </w:rPr>
        <w:tab/>
      </w:r>
      <w:r>
        <w:rPr>
          <w:noProof/>
        </w:rPr>
        <w:fldChar w:fldCharType="begin"/>
      </w:r>
      <w:r>
        <w:rPr>
          <w:noProof/>
        </w:rPr>
        <w:instrText xml:space="preserve"> PAGEREF _Toc17201281 \h </w:instrText>
      </w:r>
      <w:r>
        <w:rPr>
          <w:noProof/>
        </w:rPr>
      </w:r>
      <w:r>
        <w:rPr>
          <w:noProof/>
        </w:rPr>
        <w:fldChar w:fldCharType="separate"/>
      </w:r>
      <w:r w:rsidR="00C012A9">
        <w:rPr>
          <w:noProof/>
        </w:rPr>
        <w:t>19</w:t>
      </w:r>
      <w:r>
        <w:rPr>
          <w:noProof/>
        </w:rPr>
        <w:fldChar w:fldCharType="end"/>
      </w:r>
    </w:p>
    <w:p w14:paraId="0E892F14" w14:textId="686CF716" w:rsidR="00BD4037" w:rsidRDefault="00BD4037">
      <w:pPr>
        <w:pStyle w:val="TableofFigures"/>
        <w:tabs>
          <w:tab w:val="right" w:leader="dot" w:pos="9350"/>
        </w:tabs>
        <w:rPr>
          <w:rFonts w:asciiTheme="minorHAnsi" w:eastAsiaTheme="minorEastAsia" w:hAnsiTheme="minorHAnsi"/>
          <w:noProof/>
        </w:rPr>
      </w:pPr>
      <w:r>
        <w:rPr>
          <w:noProof/>
        </w:rPr>
        <w:t xml:space="preserve">Table IX.A.27. </w:t>
      </w:r>
      <w:r w:rsidR="00082133">
        <w:rPr>
          <w:noProof/>
        </w:rPr>
        <w:t>8</w:t>
      </w:r>
      <w:r>
        <w:rPr>
          <w:noProof/>
        </w:rPr>
        <w:t xml:space="preserve"> Atypical Event Values Excluded from Baseline Design Value at the Spanish Fork Monitor</w:t>
      </w:r>
      <w:r>
        <w:rPr>
          <w:noProof/>
        </w:rPr>
        <w:tab/>
      </w:r>
      <w:r>
        <w:rPr>
          <w:noProof/>
        </w:rPr>
        <w:fldChar w:fldCharType="begin"/>
      </w:r>
      <w:r>
        <w:rPr>
          <w:noProof/>
        </w:rPr>
        <w:instrText xml:space="preserve"> PAGEREF _Toc17201282 \h </w:instrText>
      </w:r>
      <w:r>
        <w:rPr>
          <w:noProof/>
        </w:rPr>
      </w:r>
      <w:r>
        <w:rPr>
          <w:noProof/>
        </w:rPr>
        <w:fldChar w:fldCharType="separate"/>
      </w:r>
      <w:r w:rsidR="00C012A9">
        <w:rPr>
          <w:noProof/>
        </w:rPr>
        <w:t>35</w:t>
      </w:r>
      <w:r>
        <w:rPr>
          <w:noProof/>
        </w:rPr>
        <w:fldChar w:fldCharType="end"/>
      </w:r>
    </w:p>
    <w:p w14:paraId="3FDFB927" w14:textId="13EBDDF1" w:rsidR="00BD4037" w:rsidRDefault="00BD4037">
      <w:pPr>
        <w:pStyle w:val="TableofFigures"/>
        <w:tabs>
          <w:tab w:val="right" w:leader="dot" w:pos="9350"/>
        </w:tabs>
        <w:rPr>
          <w:rFonts w:asciiTheme="minorHAnsi" w:eastAsiaTheme="minorEastAsia" w:hAnsiTheme="minorHAnsi"/>
          <w:noProof/>
        </w:rPr>
      </w:pPr>
      <w:r>
        <w:rPr>
          <w:noProof/>
        </w:rPr>
        <w:t xml:space="preserve">Table IX.A.27. </w:t>
      </w:r>
      <w:r w:rsidR="006303A7">
        <w:rPr>
          <w:noProof/>
        </w:rPr>
        <w:t>9</w:t>
      </w:r>
      <w:r>
        <w:rPr>
          <w:noProof/>
        </w:rPr>
        <w:t xml:space="preserve"> Baseline and Future Design Values (ug/m</w:t>
      </w:r>
      <w:r w:rsidRPr="00527778">
        <w:rPr>
          <w:noProof/>
          <w:vertAlign w:val="superscript"/>
        </w:rPr>
        <w:t>3</w:t>
      </w:r>
      <w:r>
        <w:rPr>
          <w:noProof/>
        </w:rPr>
        <w:t>) at Monitors in Provo NAA</w:t>
      </w:r>
      <w:r>
        <w:rPr>
          <w:noProof/>
        </w:rPr>
        <w:tab/>
      </w:r>
      <w:r>
        <w:rPr>
          <w:noProof/>
        </w:rPr>
        <w:fldChar w:fldCharType="begin"/>
      </w:r>
      <w:r>
        <w:rPr>
          <w:noProof/>
        </w:rPr>
        <w:instrText xml:space="preserve"> PAGEREF _Toc17201283 \h </w:instrText>
      </w:r>
      <w:r>
        <w:rPr>
          <w:noProof/>
        </w:rPr>
      </w:r>
      <w:r>
        <w:rPr>
          <w:noProof/>
        </w:rPr>
        <w:fldChar w:fldCharType="separate"/>
      </w:r>
      <w:r w:rsidR="00C012A9">
        <w:rPr>
          <w:noProof/>
        </w:rPr>
        <w:t>36</w:t>
      </w:r>
      <w:r>
        <w:rPr>
          <w:noProof/>
        </w:rPr>
        <w:fldChar w:fldCharType="end"/>
      </w:r>
    </w:p>
    <w:p w14:paraId="04CEF16D" w14:textId="676AEAB5"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0</w:t>
      </w:r>
      <w:r>
        <w:rPr>
          <w:noProof/>
        </w:rPr>
        <w:t xml:space="preserve"> Emissions Inventory in Tons Per Average Episode Day by Source Category and Year</w:t>
      </w:r>
      <w:r>
        <w:rPr>
          <w:noProof/>
        </w:rPr>
        <w:tab/>
      </w:r>
      <w:r>
        <w:rPr>
          <w:noProof/>
        </w:rPr>
        <w:fldChar w:fldCharType="begin"/>
      </w:r>
      <w:r>
        <w:rPr>
          <w:noProof/>
        </w:rPr>
        <w:instrText xml:space="preserve"> PAGEREF _Toc17201284 \h </w:instrText>
      </w:r>
      <w:r>
        <w:rPr>
          <w:noProof/>
        </w:rPr>
      </w:r>
      <w:r>
        <w:rPr>
          <w:noProof/>
        </w:rPr>
        <w:fldChar w:fldCharType="separate"/>
      </w:r>
      <w:r w:rsidR="00C012A9">
        <w:rPr>
          <w:noProof/>
        </w:rPr>
        <w:t>38</w:t>
      </w:r>
      <w:r>
        <w:rPr>
          <w:noProof/>
        </w:rPr>
        <w:fldChar w:fldCharType="end"/>
      </w:r>
    </w:p>
    <w:p w14:paraId="1210976D" w14:textId="2421108B"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1</w:t>
      </w:r>
      <w:r>
        <w:rPr>
          <w:noProof/>
        </w:rPr>
        <w:t xml:space="preserve"> 2035 Mountainland Association of Government’s Motor Vehicle Emission Budget</w:t>
      </w:r>
      <w:r>
        <w:rPr>
          <w:noProof/>
        </w:rPr>
        <w:tab/>
      </w:r>
      <w:r>
        <w:rPr>
          <w:noProof/>
        </w:rPr>
        <w:fldChar w:fldCharType="begin"/>
      </w:r>
      <w:r>
        <w:rPr>
          <w:noProof/>
        </w:rPr>
        <w:instrText xml:space="preserve"> PAGEREF _Toc17201285 \h </w:instrText>
      </w:r>
      <w:r>
        <w:rPr>
          <w:noProof/>
        </w:rPr>
      </w:r>
      <w:r>
        <w:rPr>
          <w:noProof/>
        </w:rPr>
        <w:fldChar w:fldCharType="separate"/>
      </w:r>
      <w:r w:rsidR="00C012A9">
        <w:rPr>
          <w:noProof/>
        </w:rPr>
        <w:t>40</w:t>
      </w:r>
      <w:r>
        <w:rPr>
          <w:noProof/>
        </w:rPr>
        <w:fldChar w:fldCharType="end"/>
      </w:r>
    </w:p>
    <w:p w14:paraId="218DE640" w14:textId="2740FC5B" w:rsidR="00BD4037" w:rsidRDefault="00BD4037">
      <w:pPr>
        <w:pStyle w:val="TableofFigures"/>
        <w:tabs>
          <w:tab w:val="right" w:leader="dot" w:pos="9350"/>
        </w:tabs>
        <w:rPr>
          <w:rFonts w:asciiTheme="minorHAnsi" w:eastAsiaTheme="minorEastAsia" w:hAnsiTheme="minorHAnsi"/>
          <w:noProof/>
        </w:rPr>
      </w:pPr>
      <w:r>
        <w:rPr>
          <w:noProof/>
        </w:rPr>
        <w:t>Table IX.A.27. 1</w:t>
      </w:r>
      <w:r w:rsidR="006303A7">
        <w:rPr>
          <w:noProof/>
        </w:rPr>
        <w:t>2</w:t>
      </w:r>
      <w:r>
        <w:rPr>
          <w:noProof/>
        </w:rPr>
        <w:t xml:space="preserve"> Comparison of 2026 On-Road Mobile Inventory to Total Emissions Inventory</w:t>
      </w:r>
      <w:r>
        <w:rPr>
          <w:noProof/>
        </w:rPr>
        <w:tab/>
      </w:r>
      <w:r>
        <w:rPr>
          <w:noProof/>
        </w:rPr>
        <w:fldChar w:fldCharType="begin"/>
      </w:r>
      <w:r>
        <w:rPr>
          <w:noProof/>
        </w:rPr>
        <w:instrText xml:space="preserve"> PAGEREF _Toc17201286 \h </w:instrText>
      </w:r>
      <w:r>
        <w:rPr>
          <w:noProof/>
        </w:rPr>
      </w:r>
      <w:r>
        <w:rPr>
          <w:noProof/>
        </w:rPr>
        <w:fldChar w:fldCharType="separate"/>
      </w:r>
      <w:r w:rsidR="00C012A9">
        <w:rPr>
          <w:noProof/>
        </w:rPr>
        <w:t>40</w:t>
      </w:r>
      <w:r>
        <w:rPr>
          <w:noProof/>
        </w:rPr>
        <w:fldChar w:fldCharType="end"/>
      </w:r>
    </w:p>
    <w:p w14:paraId="7969150F" w14:textId="4F32066E" w:rsidR="00B1647C" w:rsidRDefault="00B1647C">
      <w:r>
        <w:fldChar w:fldCharType="end"/>
      </w:r>
    </w:p>
    <w:p w14:paraId="680E51D0" w14:textId="77777777" w:rsidR="002F7095" w:rsidRPr="00A81577" w:rsidRDefault="002F7095" w:rsidP="002F7095">
      <w:pPr>
        <w:rPr>
          <w:rFonts w:ascii="Arial" w:hAnsi="Arial" w:cs="Arial"/>
          <w:b/>
          <w:sz w:val="28"/>
          <w:szCs w:val="28"/>
        </w:rPr>
      </w:pPr>
      <w:r>
        <w:rPr>
          <w:rFonts w:ascii="Arial" w:hAnsi="Arial" w:cs="Arial"/>
          <w:b/>
          <w:sz w:val="28"/>
          <w:szCs w:val="28"/>
        </w:rPr>
        <w:t>List</w:t>
      </w:r>
      <w:r w:rsidRPr="00A81577">
        <w:rPr>
          <w:rFonts w:ascii="Arial" w:hAnsi="Arial" w:cs="Arial"/>
          <w:b/>
          <w:sz w:val="28"/>
          <w:szCs w:val="28"/>
        </w:rPr>
        <w:t xml:space="preserve"> of Figures</w:t>
      </w:r>
    </w:p>
    <w:p w14:paraId="76C0184D" w14:textId="2E825CAE" w:rsidR="00BD4037" w:rsidRDefault="00B1647C">
      <w:pPr>
        <w:pStyle w:val="TableofFigures"/>
        <w:tabs>
          <w:tab w:val="right" w:leader="dot" w:pos="9350"/>
        </w:tabs>
        <w:rPr>
          <w:rFonts w:asciiTheme="minorHAnsi" w:eastAsiaTheme="minorEastAsia" w:hAnsiTheme="minorHAnsi"/>
          <w:noProof/>
        </w:rPr>
      </w:pPr>
      <w:r>
        <w:fldChar w:fldCharType="begin"/>
      </w:r>
      <w:r>
        <w:instrText xml:space="preserve"> TOC \c "Figure IX.A.27." </w:instrText>
      </w:r>
      <w:r>
        <w:fldChar w:fldCharType="separate"/>
      </w:r>
      <w:r w:rsidR="00BD4037">
        <w:rPr>
          <w:noProof/>
        </w:rPr>
        <w:t>Figure IX.A.27. 1 Utah's PM</w:t>
      </w:r>
      <w:r w:rsidR="00BD4037" w:rsidRPr="00B16A09">
        <w:rPr>
          <w:noProof/>
          <w:vertAlign w:val="subscript"/>
        </w:rPr>
        <w:t xml:space="preserve">2.5 </w:t>
      </w:r>
      <w:r w:rsidR="00BD4037">
        <w:rPr>
          <w:noProof/>
        </w:rPr>
        <w:t>Air Monitoring Network</w:t>
      </w:r>
      <w:r w:rsidR="00BD4037">
        <w:rPr>
          <w:noProof/>
        </w:rPr>
        <w:tab/>
      </w:r>
      <w:r w:rsidR="00BD4037">
        <w:rPr>
          <w:noProof/>
        </w:rPr>
        <w:fldChar w:fldCharType="begin"/>
      </w:r>
      <w:r w:rsidR="00BD4037">
        <w:rPr>
          <w:noProof/>
        </w:rPr>
        <w:instrText xml:space="preserve"> PAGEREF _Toc17201287 \h </w:instrText>
      </w:r>
      <w:r w:rsidR="00BD4037">
        <w:rPr>
          <w:noProof/>
        </w:rPr>
      </w:r>
      <w:r w:rsidR="00BD4037">
        <w:rPr>
          <w:noProof/>
        </w:rPr>
        <w:fldChar w:fldCharType="separate"/>
      </w:r>
      <w:r w:rsidR="00C012A9">
        <w:rPr>
          <w:noProof/>
        </w:rPr>
        <w:t>4</w:t>
      </w:r>
      <w:r w:rsidR="00BD4037">
        <w:rPr>
          <w:noProof/>
        </w:rPr>
        <w:fldChar w:fldCharType="end"/>
      </w:r>
    </w:p>
    <w:p w14:paraId="42714356" w14:textId="261FEAF8" w:rsidR="00BD4037" w:rsidRDefault="00BD4037">
      <w:pPr>
        <w:pStyle w:val="TableofFigures"/>
        <w:tabs>
          <w:tab w:val="right" w:leader="dot" w:pos="9350"/>
        </w:tabs>
        <w:rPr>
          <w:rFonts w:asciiTheme="minorHAnsi" w:eastAsiaTheme="minorEastAsia" w:hAnsiTheme="minorHAnsi"/>
          <w:noProof/>
        </w:rPr>
      </w:pPr>
      <w:r>
        <w:rPr>
          <w:noProof/>
        </w:rPr>
        <w:t>Figure IX.A.27. 2 Provo NAA PM</w:t>
      </w:r>
      <w:r w:rsidRPr="00B16A09">
        <w:rPr>
          <w:noProof/>
          <w:vertAlign w:val="subscript"/>
        </w:rPr>
        <w:t>2.5</w:t>
      </w:r>
      <w:r>
        <w:rPr>
          <w:noProof/>
        </w:rPr>
        <w:t xml:space="preserve"> Annual Mean Concentration</w:t>
      </w:r>
      <w:r>
        <w:rPr>
          <w:noProof/>
        </w:rPr>
        <w:tab/>
      </w:r>
      <w:r>
        <w:rPr>
          <w:noProof/>
        </w:rPr>
        <w:fldChar w:fldCharType="begin"/>
      </w:r>
      <w:r>
        <w:rPr>
          <w:noProof/>
        </w:rPr>
        <w:instrText xml:space="preserve"> PAGEREF _Toc17201288 \h </w:instrText>
      </w:r>
      <w:r>
        <w:rPr>
          <w:noProof/>
        </w:rPr>
      </w:r>
      <w:r>
        <w:rPr>
          <w:noProof/>
        </w:rPr>
        <w:fldChar w:fldCharType="separate"/>
      </w:r>
      <w:r w:rsidR="00C012A9">
        <w:rPr>
          <w:noProof/>
        </w:rPr>
        <w:t>12</w:t>
      </w:r>
      <w:r>
        <w:rPr>
          <w:noProof/>
        </w:rPr>
        <w:fldChar w:fldCharType="end"/>
      </w:r>
    </w:p>
    <w:p w14:paraId="0E311821" w14:textId="794045CD" w:rsidR="00BD4037" w:rsidRDefault="00BD4037">
      <w:pPr>
        <w:pStyle w:val="TableofFigures"/>
        <w:tabs>
          <w:tab w:val="right" w:leader="dot" w:pos="9350"/>
        </w:tabs>
        <w:rPr>
          <w:rFonts w:asciiTheme="minorHAnsi" w:eastAsiaTheme="minorEastAsia" w:hAnsiTheme="minorHAnsi"/>
          <w:noProof/>
        </w:rPr>
      </w:pPr>
      <w:r>
        <w:rPr>
          <w:noProof/>
        </w:rPr>
        <w:t>Figure IX.A.27. 3 Provo NAA PM</w:t>
      </w:r>
      <w:r w:rsidRPr="00B16A09">
        <w:rPr>
          <w:noProof/>
          <w:vertAlign w:val="subscript"/>
        </w:rPr>
        <w:t>2.5</w:t>
      </w:r>
      <w:r>
        <w:rPr>
          <w:noProof/>
        </w:rPr>
        <w:t xml:space="preserve"> 98</w:t>
      </w:r>
      <w:r w:rsidRPr="00B16A09">
        <w:rPr>
          <w:noProof/>
          <w:vertAlign w:val="superscript"/>
        </w:rPr>
        <w:t>th</w:t>
      </w:r>
      <w:r>
        <w:rPr>
          <w:noProof/>
        </w:rPr>
        <w:t xml:space="preserve"> Percentile of 24-hr Concentration</w:t>
      </w:r>
      <w:r>
        <w:rPr>
          <w:noProof/>
        </w:rPr>
        <w:tab/>
      </w:r>
      <w:r>
        <w:rPr>
          <w:noProof/>
        </w:rPr>
        <w:fldChar w:fldCharType="begin"/>
      </w:r>
      <w:r>
        <w:rPr>
          <w:noProof/>
        </w:rPr>
        <w:instrText xml:space="preserve"> PAGEREF _Toc17201289 \h </w:instrText>
      </w:r>
      <w:r>
        <w:rPr>
          <w:noProof/>
        </w:rPr>
      </w:r>
      <w:r>
        <w:rPr>
          <w:noProof/>
        </w:rPr>
        <w:fldChar w:fldCharType="separate"/>
      </w:r>
      <w:r w:rsidR="00C012A9">
        <w:rPr>
          <w:noProof/>
        </w:rPr>
        <w:t>12</w:t>
      </w:r>
      <w:r>
        <w:rPr>
          <w:noProof/>
        </w:rPr>
        <w:fldChar w:fldCharType="end"/>
      </w:r>
    </w:p>
    <w:p w14:paraId="0C777452" w14:textId="17753265" w:rsidR="00BD4037" w:rsidRDefault="00BD4037">
      <w:pPr>
        <w:pStyle w:val="TableofFigures"/>
        <w:tabs>
          <w:tab w:val="right" w:leader="dot" w:pos="9350"/>
        </w:tabs>
        <w:rPr>
          <w:rFonts w:asciiTheme="minorHAnsi" w:eastAsiaTheme="minorEastAsia" w:hAnsiTheme="minorHAnsi"/>
          <w:noProof/>
        </w:rPr>
      </w:pPr>
      <w:r>
        <w:rPr>
          <w:noProof/>
        </w:rPr>
        <w:t>Figure IX.A.27. 4 CAMx Photochemical Modeling Domains in Two-Way Nested Configuration</w:t>
      </w:r>
      <w:r>
        <w:rPr>
          <w:noProof/>
        </w:rPr>
        <w:tab/>
      </w:r>
      <w:r>
        <w:rPr>
          <w:noProof/>
        </w:rPr>
        <w:fldChar w:fldCharType="begin"/>
      </w:r>
      <w:r>
        <w:rPr>
          <w:noProof/>
        </w:rPr>
        <w:instrText xml:space="preserve"> PAGEREF _Toc17201290 \h </w:instrText>
      </w:r>
      <w:r>
        <w:rPr>
          <w:noProof/>
        </w:rPr>
      </w:r>
      <w:r>
        <w:rPr>
          <w:noProof/>
        </w:rPr>
        <w:fldChar w:fldCharType="separate"/>
      </w:r>
      <w:r w:rsidR="00C012A9">
        <w:rPr>
          <w:noProof/>
        </w:rPr>
        <w:t>21</w:t>
      </w:r>
      <w:r>
        <w:rPr>
          <w:noProof/>
        </w:rPr>
        <w:fldChar w:fldCharType="end"/>
      </w:r>
    </w:p>
    <w:p w14:paraId="5DB62875" w14:textId="56D94CA9" w:rsidR="00BD4037" w:rsidRDefault="00BD4037">
      <w:pPr>
        <w:pStyle w:val="TableofFigures"/>
        <w:tabs>
          <w:tab w:val="right" w:leader="dot" w:pos="9350"/>
        </w:tabs>
        <w:rPr>
          <w:rFonts w:asciiTheme="minorHAnsi" w:eastAsiaTheme="minorEastAsia" w:hAnsiTheme="minorHAnsi"/>
          <w:noProof/>
        </w:rPr>
      </w:pPr>
      <w:r>
        <w:rPr>
          <w:noProof/>
        </w:rPr>
        <w:t>Figure IX.A.27. 5 Measured and Modeled 24-hr PM</w:t>
      </w:r>
      <w:r w:rsidRPr="00B16A09">
        <w:rPr>
          <w:noProof/>
          <w:vertAlign w:val="subscript"/>
        </w:rPr>
        <w:t>2.5</w:t>
      </w:r>
      <w:r>
        <w:rPr>
          <w:noProof/>
        </w:rPr>
        <w:t xml:space="preserve"> Concentrations During January 1-10 2011 at Lindon Monitoring Station in Provo NAA</w:t>
      </w:r>
      <w:r>
        <w:rPr>
          <w:noProof/>
        </w:rPr>
        <w:tab/>
      </w:r>
      <w:r>
        <w:rPr>
          <w:noProof/>
        </w:rPr>
        <w:fldChar w:fldCharType="begin"/>
      </w:r>
      <w:r>
        <w:rPr>
          <w:noProof/>
        </w:rPr>
        <w:instrText xml:space="preserve"> PAGEREF _Toc17201291 \h </w:instrText>
      </w:r>
      <w:r>
        <w:rPr>
          <w:noProof/>
        </w:rPr>
      </w:r>
      <w:r>
        <w:rPr>
          <w:noProof/>
        </w:rPr>
        <w:fldChar w:fldCharType="separate"/>
      </w:r>
      <w:r w:rsidR="00C012A9">
        <w:rPr>
          <w:noProof/>
        </w:rPr>
        <w:t>24</w:t>
      </w:r>
      <w:r>
        <w:rPr>
          <w:noProof/>
        </w:rPr>
        <w:fldChar w:fldCharType="end"/>
      </w:r>
    </w:p>
    <w:p w14:paraId="303AF2F6" w14:textId="7571A7EC" w:rsidR="00BD4037" w:rsidRDefault="00BD4037">
      <w:pPr>
        <w:pStyle w:val="TableofFigures"/>
        <w:tabs>
          <w:tab w:val="right" w:leader="dot" w:pos="9350"/>
        </w:tabs>
        <w:rPr>
          <w:rFonts w:asciiTheme="minorHAnsi" w:eastAsiaTheme="minorEastAsia" w:hAnsiTheme="minorHAnsi"/>
          <w:noProof/>
        </w:rPr>
      </w:pPr>
      <w:r>
        <w:rPr>
          <w:noProof/>
        </w:rPr>
        <w:t>Figure IX.A.27. 6 a) Measured and b) Modeled Species Contribution (in %) to PM</w:t>
      </w:r>
      <w:r w:rsidRPr="00B16A09">
        <w:rPr>
          <w:noProof/>
          <w:vertAlign w:val="subscript"/>
        </w:rPr>
        <w:t>2.5</w:t>
      </w:r>
      <w:r>
        <w:rPr>
          <w:noProof/>
        </w:rPr>
        <w:t xml:space="preserve"> at Lindon Monitoring Station in the Provo NAA on a Typical 24-hr PM</w:t>
      </w:r>
      <w:r w:rsidRPr="00B16A09">
        <w:rPr>
          <w:noProof/>
          <w:vertAlign w:val="subscript"/>
        </w:rPr>
        <w:t>2.5</w:t>
      </w:r>
      <w:r>
        <w:rPr>
          <w:noProof/>
        </w:rPr>
        <w:t xml:space="preserve"> Exceedance Day</w:t>
      </w:r>
      <w:r>
        <w:rPr>
          <w:noProof/>
        </w:rPr>
        <w:tab/>
      </w:r>
      <w:r>
        <w:rPr>
          <w:noProof/>
        </w:rPr>
        <w:fldChar w:fldCharType="begin"/>
      </w:r>
      <w:r>
        <w:rPr>
          <w:noProof/>
        </w:rPr>
        <w:instrText xml:space="preserve"> PAGEREF _Toc17201292 \h </w:instrText>
      </w:r>
      <w:r>
        <w:rPr>
          <w:noProof/>
        </w:rPr>
      </w:r>
      <w:r>
        <w:rPr>
          <w:noProof/>
        </w:rPr>
        <w:fldChar w:fldCharType="separate"/>
      </w:r>
      <w:r w:rsidR="00C012A9">
        <w:rPr>
          <w:noProof/>
        </w:rPr>
        <w:t>25</w:t>
      </w:r>
      <w:r>
        <w:rPr>
          <w:noProof/>
        </w:rPr>
        <w:fldChar w:fldCharType="end"/>
      </w:r>
    </w:p>
    <w:p w14:paraId="608794C4" w14:textId="5E9C6D97" w:rsidR="00BD4037" w:rsidRDefault="00BD4037">
      <w:pPr>
        <w:pStyle w:val="TableofFigures"/>
        <w:tabs>
          <w:tab w:val="right" w:leader="dot" w:pos="9350"/>
        </w:tabs>
        <w:rPr>
          <w:rFonts w:asciiTheme="minorHAnsi" w:eastAsiaTheme="minorEastAsia" w:hAnsiTheme="minorHAnsi"/>
          <w:noProof/>
        </w:rPr>
      </w:pPr>
      <w:r>
        <w:rPr>
          <w:noProof/>
        </w:rPr>
        <w:t>Figure IX.A.27. 7 Measured and Modeled 24-hr PM</w:t>
      </w:r>
      <w:r w:rsidRPr="00B16A09">
        <w:rPr>
          <w:noProof/>
          <w:vertAlign w:val="subscript"/>
        </w:rPr>
        <w:t>2.5</w:t>
      </w:r>
      <w:r>
        <w:rPr>
          <w:noProof/>
        </w:rPr>
        <w:t xml:space="preserve"> Concentrations During December 7-19, 2013</w:t>
      </w:r>
      <w:r w:rsidR="00DC17F9">
        <w:rPr>
          <w:noProof/>
        </w:rPr>
        <w:t>,</w:t>
      </w:r>
      <w:r>
        <w:rPr>
          <w:noProof/>
        </w:rPr>
        <w:t xml:space="preserve"> at Lindon Monitoring Station in the Provo NAA</w:t>
      </w:r>
      <w:r>
        <w:rPr>
          <w:noProof/>
        </w:rPr>
        <w:tab/>
      </w:r>
      <w:r>
        <w:rPr>
          <w:noProof/>
        </w:rPr>
        <w:fldChar w:fldCharType="begin"/>
      </w:r>
      <w:r>
        <w:rPr>
          <w:noProof/>
        </w:rPr>
        <w:instrText xml:space="preserve"> PAGEREF _Toc17201293 \h </w:instrText>
      </w:r>
      <w:r>
        <w:rPr>
          <w:noProof/>
        </w:rPr>
      </w:r>
      <w:r>
        <w:rPr>
          <w:noProof/>
        </w:rPr>
        <w:fldChar w:fldCharType="separate"/>
      </w:r>
      <w:r w:rsidR="00C012A9">
        <w:rPr>
          <w:noProof/>
        </w:rPr>
        <w:t>26</w:t>
      </w:r>
      <w:r>
        <w:rPr>
          <w:noProof/>
        </w:rPr>
        <w:fldChar w:fldCharType="end"/>
      </w:r>
    </w:p>
    <w:p w14:paraId="4C631565" w14:textId="53F87F42" w:rsidR="00BD4037" w:rsidRDefault="00BD4037">
      <w:pPr>
        <w:pStyle w:val="TableofFigures"/>
        <w:tabs>
          <w:tab w:val="right" w:leader="dot" w:pos="9350"/>
        </w:tabs>
        <w:rPr>
          <w:rFonts w:asciiTheme="minorHAnsi" w:eastAsiaTheme="minorEastAsia" w:hAnsiTheme="minorHAnsi"/>
          <w:noProof/>
        </w:rPr>
      </w:pPr>
      <w:r>
        <w:rPr>
          <w:noProof/>
        </w:rPr>
        <w:t>Figure IX.A.27. 8 a) Measured and b) Modeled Chemical Composition of 24-hr PM</w:t>
      </w:r>
      <w:r w:rsidRPr="00B16A09">
        <w:rPr>
          <w:noProof/>
          <w:vertAlign w:val="subscript"/>
        </w:rPr>
        <w:t>2.5</w:t>
      </w:r>
      <w:r>
        <w:rPr>
          <w:noProof/>
        </w:rPr>
        <w:t xml:space="preserve"> in ug/m3 and % of PM</w:t>
      </w:r>
      <w:r w:rsidRPr="00B16A09">
        <w:rPr>
          <w:noProof/>
          <w:vertAlign w:val="subscript"/>
        </w:rPr>
        <w:t>2.5</w:t>
      </w:r>
      <w:r>
        <w:rPr>
          <w:noProof/>
        </w:rPr>
        <w:t xml:space="preserve"> at Lindon Monitoring Station in Provo NAA on December 12, 2013</w:t>
      </w:r>
      <w:r>
        <w:rPr>
          <w:noProof/>
        </w:rPr>
        <w:tab/>
      </w:r>
      <w:r>
        <w:rPr>
          <w:noProof/>
        </w:rPr>
        <w:fldChar w:fldCharType="begin"/>
      </w:r>
      <w:r>
        <w:rPr>
          <w:noProof/>
        </w:rPr>
        <w:instrText xml:space="preserve"> PAGEREF _Toc17201294 \h </w:instrText>
      </w:r>
      <w:r>
        <w:rPr>
          <w:noProof/>
        </w:rPr>
      </w:r>
      <w:r>
        <w:rPr>
          <w:noProof/>
        </w:rPr>
        <w:fldChar w:fldCharType="separate"/>
      </w:r>
      <w:r w:rsidR="00C012A9">
        <w:rPr>
          <w:noProof/>
        </w:rPr>
        <w:t>27</w:t>
      </w:r>
      <w:r>
        <w:rPr>
          <w:noProof/>
        </w:rPr>
        <w:fldChar w:fldCharType="end"/>
      </w:r>
    </w:p>
    <w:p w14:paraId="103896A4" w14:textId="7702679B" w:rsidR="00BD4037" w:rsidRDefault="00BD4037">
      <w:pPr>
        <w:pStyle w:val="TableofFigures"/>
        <w:tabs>
          <w:tab w:val="right" w:leader="dot" w:pos="9350"/>
        </w:tabs>
        <w:rPr>
          <w:rFonts w:asciiTheme="minorHAnsi" w:eastAsiaTheme="minorEastAsia" w:hAnsiTheme="minorHAnsi"/>
          <w:noProof/>
        </w:rPr>
      </w:pPr>
      <w:r>
        <w:rPr>
          <w:noProof/>
        </w:rPr>
        <w:t>Figure IX.A.27. 9 Measured and Modeled 24-hr PM</w:t>
      </w:r>
      <w:r w:rsidRPr="00B16A09">
        <w:rPr>
          <w:noProof/>
          <w:vertAlign w:val="subscript"/>
        </w:rPr>
        <w:t>2.5</w:t>
      </w:r>
      <w:r>
        <w:rPr>
          <w:noProof/>
        </w:rPr>
        <w:t xml:space="preserve"> Concentrations During February 1-16, 2016</w:t>
      </w:r>
      <w:r w:rsidR="00DC17F9">
        <w:rPr>
          <w:noProof/>
        </w:rPr>
        <w:t>,</w:t>
      </w:r>
      <w:r>
        <w:rPr>
          <w:noProof/>
        </w:rPr>
        <w:t xml:space="preserve"> at Lindon Monitoring Station in the Provo NAA. FRM data was missing for all episode days. Reported measurements correspond to data collected with a continuous </w:t>
      </w:r>
      <w:r w:rsidRPr="00B16A09">
        <w:rPr>
          <w:rFonts w:cs="Times New Roman"/>
          <w:noProof/>
          <w:lang w:val="en"/>
        </w:rPr>
        <w:t>PM</w:t>
      </w:r>
      <w:r w:rsidRPr="00B16A09">
        <w:rPr>
          <w:rFonts w:cs="Times New Roman"/>
          <w:noProof/>
          <w:vertAlign w:val="subscript"/>
          <w:lang w:val="en"/>
        </w:rPr>
        <w:t xml:space="preserve">2.5 </w:t>
      </w:r>
      <w:r>
        <w:rPr>
          <w:noProof/>
        </w:rPr>
        <w:t>instrument.</w:t>
      </w:r>
      <w:r>
        <w:rPr>
          <w:noProof/>
        </w:rPr>
        <w:tab/>
      </w:r>
      <w:r>
        <w:rPr>
          <w:noProof/>
        </w:rPr>
        <w:fldChar w:fldCharType="begin"/>
      </w:r>
      <w:r>
        <w:rPr>
          <w:noProof/>
        </w:rPr>
        <w:instrText xml:space="preserve"> PAGEREF _Toc17201295 \h </w:instrText>
      </w:r>
      <w:r>
        <w:rPr>
          <w:noProof/>
        </w:rPr>
      </w:r>
      <w:r>
        <w:rPr>
          <w:noProof/>
        </w:rPr>
        <w:fldChar w:fldCharType="separate"/>
      </w:r>
      <w:r w:rsidR="00C012A9">
        <w:rPr>
          <w:noProof/>
        </w:rPr>
        <w:t>28</w:t>
      </w:r>
      <w:r>
        <w:rPr>
          <w:noProof/>
        </w:rPr>
        <w:fldChar w:fldCharType="end"/>
      </w:r>
    </w:p>
    <w:p w14:paraId="65F7C7F9" w14:textId="63EB1157" w:rsidR="00BD4037" w:rsidRDefault="00BD4037">
      <w:pPr>
        <w:pStyle w:val="TableofFigures"/>
        <w:tabs>
          <w:tab w:val="right" w:leader="dot" w:pos="9350"/>
        </w:tabs>
        <w:rPr>
          <w:rFonts w:asciiTheme="minorHAnsi" w:eastAsiaTheme="minorEastAsia" w:hAnsiTheme="minorHAnsi"/>
          <w:noProof/>
        </w:rPr>
      </w:pPr>
      <w:r>
        <w:rPr>
          <w:noProof/>
        </w:rPr>
        <w:t>Figure IX.A.27. 10 a) Measured and b) Modeled Chemical Composition of PM</w:t>
      </w:r>
      <w:r w:rsidRPr="00B16A09">
        <w:rPr>
          <w:noProof/>
          <w:vertAlign w:val="subscript"/>
        </w:rPr>
        <w:t>2.5</w:t>
      </w:r>
      <w:r>
        <w:rPr>
          <w:noProof/>
        </w:rPr>
        <w:t xml:space="preserve"> in ug/m</w:t>
      </w:r>
      <w:r w:rsidRPr="00B16A09">
        <w:rPr>
          <w:noProof/>
          <w:vertAlign w:val="superscript"/>
        </w:rPr>
        <w:t>3</w:t>
      </w:r>
      <w:r>
        <w:rPr>
          <w:noProof/>
        </w:rPr>
        <w:t xml:space="preserve"> and % of PM</w:t>
      </w:r>
      <w:r w:rsidRPr="00B16A09">
        <w:rPr>
          <w:noProof/>
          <w:vertAlign w:val="subscript"/>
        </w:rPr>
        <w:t>2.5</w:t>
      </w:r>
      <w:r>
        <w:rPr>
          <w:noProof/>
        </w:rPr>
        <w:t xml:space="preserve"> at Lindon in the Provo NAA on February 12, 2016</w:t>
      </w:r>
      <w:r>
        <w:rPr>
          <w:noProof/>
        </w:rPr>
        <w:tab/>
      </w:r>
      <w:r>
        <w:rPr>
          <w:noProof/>
        </w:rPr>
        <w:fldChar w:fldCharType="begin"/>
      </w:r>
      <w:r>
        <w:rPr>
          <w:noProof/>
        </w:rPr>
        <w:instrText xml:space="preserve"> PAGEREF _Toc17201296 \h </w:instrText>
      </w:r>
      <w:r>
        <w:rPr>
          <w:noProof/>
        </w:rPr>
      </w:r>
      <w:r>
        <w:rPr>
          <w:noProof/>
        </w:rPr>
        <w:fldChar w:fldCharType="separate"/>
      </w:r>
      <w:r w:rsidR="00C012A9">
        <w:rPr>
          <w:noProof/>
        </w:rPr>
        <w:t>29</w:t>
      </w:r>
      <w:r>
        <w:rPr>
          <w:noProof/>
        </w:rPr>
        <w:fldChar w:fldCharType="end"/>
      </w:r>
    </w:p>
    <w:p w14:paraId="6DBF96B6" w14:textId="7C82327C" w:rsidR="00BD4037" w:rsidRDefault="00BD4037">
      <w:pPr>
        <w:pStyle w:val="TableofFigures"/>
        <w:tabs>
          <w:tab w:val="right" w:leader="dot" w:pos="9350"/>
        </w:tabs>
        <w:rPr>
          <w:rFonts w:asciiTheme="minorHAnsi" w:eastAsiaTheme="minorEastAsia" w:hAnsiTheme="minorHAnsi"/>
          <w:noProof/>
        </w:rPr>
      </w:pPr>
      <w:r>
        <w:rPr>
          <w:noProof/>
        </w:rPr>
        <w:t>Figure IX.A.27. 11 Modeled vs. Measured 24-hr PM</w:t>
      </w:r>
      <w:r w:rsidRPr="00B16A09">
        <w:rPr>
          <w:noProof/>
          <w:vertAlign w:val="subscript"/>
        </w:rPr>
        <w:t>2.5</w:t>
      </w:r>
      <w:r>
        <w:rPr>
          <w:noProof/>
        </w:rPr>
        <w:t xml:space="preserve"> at Lindon Monitoring Station for Each of the Three Modeling Episodes: January 2011, December 2013</w:t>
      </w:r>
      <w:r w:rsidR="00DC17F9">
        <w:rPr>
          <w:noProof/>
        </w:rPr>
        <w:t>,</w:t>
      </w:r>
      <w:r>
        <w:rPr>
          <w:noProof/>
        </w:rPr>
        <w:t xml:space="preserve"> and February 2016. Dots represent each individual day of the modeling episode. Linear regression fits (dashed line) and equation are shown for each episode.</w:t>
      </w:r>
      <w:r>
        <w:rPr>
          <w:noProof/>
        </w:rPr>
        <w:tab/>
      </w:r>
      <w:r>
        <w:rPr>
          <w:noProof/>
        </w:rPr>
        <w:fldChar w:fldCharType="begin"/>
      </w:r>
      <w:r>
        <w:rPr>
          <w:noProof/>
        </w:rPr>
        <w:instrText xml:space="preserve"> PAGEREF _Toc17201297 \h </w:instrText>
      </w:r>
      <w:r>
        <w:rPr>
          <w:noProof/>
        </w:rPr>
      </w:r>
      <w:r>
        <w:rPr>
          <w:noProof/>
        </w:rPr>
        <w:fldChar w:fldCharType="separate"/>
      </w:r>
      <w:r w:rsidR="00C012A9">
        <w:rPr>
          <w:noProof/>
        </w:rPr>
        <w:t>30</w:t>
      </w:r>
      <w:r>
        <w:rPr>
          <w:noProof/>
        </w:rPr>
        <w:fldChar w:fldCharType="end"/>
      </w:r>
    </w:p>
    <w:p w14:paraId="6A05BC9A" w14:textId="52724735" w:rsidR="00BD4037" w:rsidRDefault="00BD4037">
      <w:pPr>
        <w:pStyle w:val="TableofFigures"/>
        <w:tabs>
          <w:tab w:val="right" w:leader="dot" w:pos="9350"/>
        </w:tabs>
        <w:rPr>
          <w:rFonts w:asciiTheme="minorHAnsi" w:eastAsiaTheme="minorEastAsia" w:hAnsiTheme="minorHAnsi"/>
          <w:noProof/>
        </w:rPr>
      </w:pPr>
      <w:r>
        <w:rPr>
          <w:noProof/>
        </w:rPr>
        <w:t>Figure IX.A.27. 12 Ten-day Time Series of Observed (black) and Modeled (red) 24-hr Average PM</w:t>
      </w:r>
      <w:r w:rsidRPr="00B16A09">
        <w:rPr>
          <w:noProof/>
          <w:vertAlign w:val="subscript"/>
        </w:rPr>
        <w:t>2.5</w:t>
      </w:r>
      <w:r>
        <w:rPr>
          <w:noProof/>
        </w:rPr>
        <w:t xml:space="preserve"> Concentrations During January 1-10, 2011</w:t>
      </w:r>
      <w:r w:rsidR="00DC17F9">
        <w:rPr>
          <w:noProof/>
        </w:rPr>
        <w:t>,</w:t>
      </w:r>
      <w:r>
        <w:rPr>
          <w:noProof/>
        </w:rPr>
        <w:t xml:space="preserve"> at Lindon Monitoring Station in the Provo NAA. Dashed Red Line is NAAQS for 24-hr PM</w:t>
      </w:r>
      <w:r w:rsidRPr="00B16A09">
        <w:rPr>
          <w:noProof/>
          <w:vertAlign w:val="subscript"/>
        </w:rPr>
        <w:t>2.5</w:t>
      </w:r>
      <w:r>
        <w:rPr>
          <w:noProof/>
        </w:rPr>
        <w:t>.</w:t>
      </w:r>
      <w:r>
        <w:rPr>
          <w:noProof/>
        </w:rPr>
        <w:tab/>
      </w:r>
      <w:r>
        <w:rPr>
          <w:noProof/>
        </w:rPr>
        <w:fldChar w:fldCharType="begin"/>
      </w:r>
      <w:r>
        <w:rPr>
          <w:noProof/>
        </w:rPr>
        <w:instrText xml:space="preserve"> PAGEREF _Toc17201298 \h </w:instrText>
      </w:r>
      <w:r>
        <w:rPr>
          <w:noProof/>
        </w:rPr>
      </w:r>
      <w:r>
        <w:rPr>
          <w:noProof/>
        </w:rPr>
        <w:fldChar w:fldCharType="separate"/>
      </w:r>
      <w:r w:rsidR="00C012A9">
        <w:rPr>
          <w:noProof/>
        </w:rPr>
        <w:t>32</w:t>
      </w:r>
      <w:r>
        <w:rPr>
          <w:noProof/>
        </w:rPr>
        <w:fldChar w:fldCharType="end"/>
      </w:r>
    </w:p>
    <w:p w14:paraId="79213CC7" w14:textId="1EA7DD12" w:rsidR="00BD4037" w:rsidRDefault="00BD4037">
      <w:pPr>
        <w:pStyle w:val="TableofFigures"/>
        <w:tabs>
          <w:tab w:val="right" w:leader="dot" w:pos="9350"/>
        </w:tabs>
        <w:rPr>
          <w:rFonts w:asciiTheme="minorHAnsi" w:eastAsiaTheme="minorEastAsia" w:hAnsiTheme="minorHAnsi"/>
          <w:noProof/>
        </w:rPr>
      </w:pPr>
      <w:r>
        <w:rPr>
          <w:noProof/>
        </w:rPr>
        <w:t>Figure IX.A.27. 13 a) Measured and b) Modeled Species Contribution (in ug/m3 and %) to PM</w:t>
      </w:r>
      <w:r w:rsidRPr="00B16A09">
        <w:rPr>
          <w:noProof/>
          <w:vertAlign w:val="subscript"/>
        </w:rPr>
        <w:t>2.5</w:t>
      </w:r>
      <w:r>
        <w:rPr>
          <w:noProof/>
        </w:rPr>
        <w:t xml:space="preserve"> at Lindon Monitoring Station in the Provo NAA during a typical 24-hr PM</w:t>
      </w:r>
      <w:r w:rsidRPr="00B16A09">
        <w:rPr>
          <w:noProof/>
          <w:vertAlign w:val="subscript"/>
        </w:rPr>
        <w:t>2.5</w:t>
      </w:r>
      <w:r>
        <w:rPr>
          <w:noProof/>
        </w:rPr>
        <w:t xml:space="preserve"> exceedance day</w:t>
      </w:r>
      <w:r>
        <w:rPr>
          <w:noProof/>
        </w:rPr>
        <w:tab/>
      </w:r>
      <w:r>
        <w:rPr>
          <w:noProof/>
        </w:rPr>
        <w:fldChar w:fldCharType="begin"/>
      </w:r>
      <w:r>
        <w:rPr>
          <w:noProof/>
        </w:rPr>
        <w:instrText xml:space="preserve"> PAGEREF _Toc17201299 \h </w:instrText>
      </w:r>
      <w:r>
        <w:rPr>
          <w:noProof/>
        </w:rPr>
      </w:r>
      <w:r>
        <w:rPr>
          <w:noProof/>
        </w:rPr>
        <w:fldChar w:fldCharType="separate"/>
      </w:r>
      <w:r w:rsidR="00C012A9">
        <w:rPr>
          <w:noProof/>
        </w:rPr>
        <w:t>33</w:t>
      </w:r>
      <w:r>
        <w:rPr>
          <w:noProof/>
        </w:rPr>
        <w:fldChar w:fldCharType="end"/>
      </w:r>
    </w:p>
    <w:p w14:paraId="2E175227" w14:textId="14F42F1D" w:rsidR="00B77FC2" w:rsidRDefault="00B1647C">
      <w:r>
        <w:fldChar w:fldCharType="end"/>
      </w:r>
      <w:r w:rsidR="00B77FC2">
        <w:br w:type="page"/>
      </w:r>
    </w:p>
    <w:p w14:paraId="4FB77FC1" w14:textId="77777777" w:rsidR="002F642A" w:rsidRPr="00B77FC2" w:rsidRDefault="00B77FC2" w:rsidP="00B77FC2">
      <w:pPr>
        <w:rPr>
          <w:rFonts w:ascii="Arial" w:hAnsi="Arial" w:cs="Arial"/>
          <w:b/>
          <w:sz w:val="28"/>
          <w:szCs w:val="28"/>
        </w:rPr>
      </w:pPr>
      <w:r w:rsidRPr="00B77FC2">
        <w:rPr>
          <w:rFonts w:ascii="Arial" w:hAnsi="Arial" w:cs="Arial"/>
          <w:b/>
          <w:sz w:val="28"/>
          <w:szCs w:val="28"/>
        </w:rPr>
        <w:t>List of Acronyms and Abbreviations</w:t>
      </w:r>
    </w:p>
    <w:p w14:paraId="4DACE3EE" w14:textId="77777777" w:rsidR="007F78B3" w:rsidRPr="00B77FC2" w:rsidRDefault="007F78B3" w:rsidP="007F78B3">
      <w:pPr>
        <w:spacing w:after="0"/>
        <w:rPr>
          <w:rFonts w:ascii="Arial" w:hAnsi="Arial" w:cs="Arial"/>
          <w:sz w:val="20"/>
          <w:szCs w:val="20"/>
        </w:rPr>
      </w:pPr>
      <w:r>
        <w:rPr>
          <w:rFonts w:ascii="Arial" w:hAnsi="Arial" w:cs="Arial"/>
          <w:sz w:val="20"/>
          <w:szCs w:val="20"/>
        </w:rPr>
        <w:t>BACM</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B</w:t>
      </w:r>
      <w:r>
        <w:rPr>
          <w:rFonts w:ascii="Arial" w:hAnsi="Arial" w:cs="Arial"/>
          <w:sz w:val="20"/>
          <w:szCs w:val="20"/>
        </w:rPr>
        <w:t>est Available Control Measure</w:t>
      </w:r>
    </w:p>
    <w:p w14:paraId="7CB112F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BACT </w:t>
      </w:r>
      <w:r w:rsidRPr="00B77FC2">
        <w:rPr>
          <w:rFonts w:ascii="Arial" w:hAnsi="Arial" w:cs="Arial"/>
          <w:sz w:val="20"/>
          <w:szCs w:val="20"/>
        </w:rPr>
        <w:tab/>
      </w:r>
      <w:r w:rsidRPr="00B77FC2">
        <w:rPr>
          <w:rFonts w:ascii="Arial" w:hAnsi="Arial" w:cs="Arial"/>
          <w:sz w:val="20"/>
          <w:szCs w:val="20"/>
        </w:rPr>
        <w:tab/>
        <w:t>Best Available Control Technology</w:t>
      </w:r>
    </w:p>
    <w:p w14:paraId="3031E1C7"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CAA </w:t>
      </w:r>
      <w:r w:rsidRPr="00B77FC2">
        <w:rPr>
          <w:rFonts w:ascii="Arial" w:hAnsi="Arial" w:cs="Arial"/>
          <w:sz w:val="20"/>
          <w:szCs w:val="20"/>
        </w:rPr>
        <w:tab/>
      </w:r>
      <w:r w:rsidRPr="00B77FC2">
        <w:rPr>
          <w:rFonts w:ascii="Arial" w:hAnsi="Arial" w:cs="Arial"/>
          <w:sz w:val="20"/>
          <w:szCs w:val="20"/>
        </w:rPr>
        <w:tab/>
        <w:t>Clean Air Act</w:t>
      </w:r>
    </w:p>
    <w:p w14:paraId="04AF6AEF" w14:textId="77777777" w:rsidR="00A31A76" w:rsidRPr="00B77FC2" w:rsidRDefault="00A31A76" w:rsidP="00B77FC2">
      <w:pPr>
        <w:spacing w:after="0"/>
        <w:rPr>
          <w:rFonts w:ascii="Arial" w:hAnsi="Arial" w:cs="Arial"/>
          <w:sz w:val="20"/>
          <w:szCs w:val="20"/>
        </w:rPr>
      </w:pPr>
      <w:r>
        <w:rPr>
          <w:rFonts w:ascii="Arial" w:hAnsi="Arial" w:cs="Arial"/>
          <w:sz w:val="20"/>
          <w:szCs w:val="20"/>
        </w:rPr>
        <w:t>CDD</w:t>
      </w:r>
      <w:r>
        <w:rPr>
          <w:rFonts w:ascii="Arial" w:hAnsi="Arial" w:cs="Arial"/>
          <w:sz w:val="20"/>
          <w:szCs w:val="20"/>
        </w:rPr>
        <w:tab/>
      </w:r>
      <w:r>
        <w:rPr>
          <w:rFonts w:ascii="Arial" w:hAnsi="Arial" w:cs="Arial"/>
          <w:sz w:val="20"/>
          <w:szCs w:val="20"/>
        </w:rPr>
        <w:tab/>
        <w:t>Clean Data Determination</w:t>
      </w:r>
    </w:p>
    <w:p w14:paraId="58A60BE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CFR </w:t>
      </w:r>
      <w:r w:rsidRPr="00B77FC2">
        <w:rPr>
          <w:rFonts w:ascii="Arial" w:hAnsi="Arial" w:cs="Arial"/>
          <w:sz w:val="20"/>
          <w:szCs w:val="20"/>
        </w:rPr>
        <w:tab/>
      </w:r>
      <w:r w:rsidRPr="00B77FC2">
        <w:rPr>
          <w:rFonts w:ascii="Arial" w:hAnsi="Arial" w:cs="Arial"/>
          <w:sz w:val="20"/>
          <w:szCs w:val="20"/>
        </w:rPr>
        <w:tab/>
        <w:t>Code of Federal Regulations</w:t>
      </w:r>
    </w:p>
    <w:p w14:paraId="75241FF1" w14:textId="77777777" w:rsidR="00B77FC2" w:rsidRPr="00B77FC2" w:rsidRDefault="00B77FC2" w:rsidP="00B77FC2">
      <w:pPr>
        <w:spacing w:after="0"/>
        <w:rPr>
          <w:rFonts w:ascii="Arial" w:hAnsi="Arial" w:cs="Arial"/>
          <w:sz w:val="20"/>
          <w:szCs w:val="20"/>
          <w:vertAlign w:val="subscript"/>
        </w:rPr>
      </w:pPr>
      <w:proofErr w:type="spellStart"/>
      <w:r w:rsidRPr="00B77FC2">
        <w:rPr>
          <w:rFonts w:ascii="Arial" w:hAnsi="Arial" w:cs="Arial"/>
          <w:sz w:val="20"/>
          <w:szCs w:val="20"/>
        </w:rPr>
        <w:t>CAMx</w:t>
      </w:r>
      <w:proofErr w:type="spellEnd"/>
      <w:r w:rsidRPr="00B77FC2">
        <w:rPr>
          <w:rFonts w:ascii="Arial" w:hAnsi="Arial" w:cs="Arial"/>
          <w:sz w:val="20"/>
          <w:szCs w:val="20"/>
        </w:rPr>
        <w:tab/>
      </w:r>
      <w:r w:rsidRPr="00B77FC2">
        <w:rPr>
          <w:rFonts w:ascii="Arial" w:hAnsi="Arial" w:cs="Arial"/>
          <w:sz w:val="20"/>
          <w:szCs w:val="20"/>
        </w:rPr>
        <w:tab/>
        <w:t>Comprehensive Air Quality Model with Extensions</w:t>
      </w:r>
    </w:p>
    <w:p w14:paraId="05EA5E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DAQ </w:t>
      </w:r>
      <w:r w:rsidRPr="00B77FC2">
        <w:rPr>
          <w:rFonts w:ascii="Arial" w:hAnsi="Arial" w:cs="Arial"/>
          <w:sz w:val="20"/>
          <w:szCs w:val="20"/>
        </w:rPr>
        <w:tab/>
      </w:r>
      <w:r w:rsidRPr="00B77FC2">
        <w:rPr>
          <w:rFonts w:ascii="Arial" w:hAnsi="Arial" w:cs="Arial"/>
          <w:sz w:val="20"/>
          <w:szCs w:val="20"/>
        </w:rPr>
        <w:tab/>
        <w:t>Utah Division of Air Quality (also UDAQ)</w:t>
      </w:r>
    </w:p>
    <w:p w14:paraId="0B2A0251" w14:textId="77777777" w:rsidR="00B77FC2" w:rsidRDefault="00B77FC2" w:rsidP="00B77FC2">
      <w:pPr>
        <w:spacing w:after="0"/>
        <w:rPr>
          <w:rFonts w:ascii="Arial" w:hAnsi="Arial" w:cs="Arial"/>
          <w:sz w:val="20"/>
          <w:szCs w:val="20"/>
        </w:rPr>
      </w:pPr>
      <w:r w:rsidRPr="00B77FC2">
        <w:rPr>
          <w:rFonts w:ascii="Arial" w:hAnsi="Arial" w:cs="Arial"/>
          <w:sz w:val="20"/>
          <w:szCs w:val="20"/>
        </w:rPr>
        <w:t xml:space="preserve">EPA </w:t>
      </w:r>
      <w:r w:rsidRPr="00B77FC2">
        <w:rPr>
          <w:rFonts w:ascii="Arial" w:hAnsi="Arial" w:cs="Arial"/>
          <w:sz w:val="20"/>
          <w:szCs w:val="20"/>
        </w:rPr>
        <w:tab/>
      </w:r>
      <w:r w:rsidRPr="00B77FC2">
        <w:rPr>
          <w:rFonts w:ascii="Arial" w:hAnsi="Arial" w:cs="Arial"/>
          <w:sz w:val="20"/>
          <w:szCs w:val="20"/>
        </w:rPr>
        <w:tab/>
        <w:t>Environmental Protection Agency</w:t>
      </w:r>
    </w:p>
    <w:p w14:paraId="65A7873C" w14:textId="77777777" w:rsidR="003A7D0D" w:rsidRDefault="003A7D0D" w:rsidP="00B77FC2">
      <w:pPr>
        <w:spacing w:after="0"/>
        <w:rPr>
          <w:rFonts w:ascii="Arial" w:hAnsi="Arial" w:cs="Arial"/>
          <w:sz w:val="20"/>
          <w:szCs w:val="20"/>
        </w:rPr>
      </w:pPr>
      <w:r>
        <w:rPr>
          <w:rFonts w:ascii="Arial" w:hAnsi="Arial" w:cs="Arial"/>
          <w:sz w:val="20"/>
          <w:szCs w:val="20"/>
        </w:rPr>
        <w:t>FR</w:t>
      </w:r>
      <w:r>
        <w:rPr>
          <w:rFonts w:ascii="Arial" w:hAnsi="Arial" w:cs="Arial"/>
          <w:sz w:val="20"/>
          <w:szCs w:val="20"/>
        </w:rPr>
        <w:tab/>
      </w:r>
      <w:r>
        <w:rPr>
          <w:rFonts w:ascii="Arial" w:hAnsi="Arial" w:cs="Arial"/>
          <w:sz w:val="20"/>
          <w:szCs w:val="20"/>
        </w:rPr>
        <w:tab/>
        <w:t>Federal Register</w:t>
      </w:r>
    </w:p>
    <w:p w14:paraId="66FBF045" w14:textId="77777777" w:rsidR="00447FEF" w:rsidRPr="00B77FC2" w:rsidRDefault="00447FEF" w:rsidP="00B77FC2">
      <w:pPr>
        <w:spacing w:after="0"/>
        <w:rPr>
          <w:rFonts w:ascii="Arial" w:hAnsi="Arial" w:cs="Arial"/>
          <w:sz w:val="20"/>
          <w:szCs w:val="20"/>
        </w:rPr>
      </w:pPr>
      <w:r>
        <w:rPr>
          <w:rFonts w:ascii="Arial" w:hAnsi="Arial" w:cs="Arial"/>
          <w:sz w:val="20"/>
          <w:szCs w:val="20"/>
        </w:rPr>
        <w:t>MOVES</w:t>
      </w:r>
      <w:r>
        <w:rPr>
          <w:rFonts w:ascii="Arial" w:hAnsi="Arial" w:cs="Arial"/>
          <w:sz w:val="20"/>
          <w:szCs w:val="20"/>
        </w:rPr>
        <w:tab/>
        <w:t>Motor Vehicle Emission Simulator</w:t>
      </w:r>
    </w:p>
    <w:p w14:paraId="6A3D8159"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MPO</w:t>
      </w:r>
      <w:r w:rsidRPr="00B77FC2">
        <w:rPr>
          <w:rFonts w:ascii="Arial" w:hAnsi="Arial" w:cs="Arial"/>
          <w:sz w:val="20"/>
          <w:szCs w:val="20"/>
        </w:rPr>
        <w:tab/>
      </w:r>
      <w:r w:rsidRPr="00B77FC2">
        <w:rPr>
          <w:rFonts w:ascii="Arial" w:hAnsi="Arial" w:cs="Arial"/>
          <w:sz w:val="20"/>
          <w:szCs w:val="20"/>
        </w:rPr>
        <w:tab/>
        <w:t>Metropolitan Planning Organization</w:t>
      </w:r>
    </w:p>
    <w:p w14:paraId="54981DF4" w14:textId="77777777" w:rsidR="00B77FC2" w:rsidRPr="00E7382C" w:rsidRDefault="00B77FC2" w:rsidP="00B77FC2">
      <w:pPr>
        <w:spacing w:after="0"/>
        <w:rPr>
          <w:rFonts w:ascii="Arial" w:hAnsi="Arial" w:cs="Arial"/>
          <w:sz w:val="20"/>
          <w:szCs w:val="20"/>
        </w:rPr>
      </w:pPr>
      <w:r w:rsidRPr="00E7382C">
        <w:rPr>
          <w:rFonts w:ascii="Arial" w:hAnsi="Arial" w:cs="Arial"/>
          <w:sz w:val="20"/>
          <w:szCs w:val="20"/>
        </w:rPr>
        <w:t>MVEB</w:t>
      </w:r>
      <w:r w:rsidRPr="00E7382C">
        <w:rPr>
          <w:rFonts w:ascii="Arial" w:hAnsi="Arial" w:cs="Arial"/>
          <w:sz w:val="20"/>
          <w:szCs w:val="20"/>
        </w:rPr>
        <w:tab/>
      </w:r>
      <w:r w:rsidRPr="00E7382C">
        <w:rPr>
          <w:rFonts w:ascii="Arial" w:hAnsi="Arial" w:cs="Arial"/>
          <w:sz w:val="20"/>
          <w:szCs w:val="20"/>
        </w:rPr>
        <w:tab/>
        <w:t>Motor Vehicle Emissions Budget</w:t>
      </w:r>
    </w:p>
    <w:p w14:paraId="6AC205AF" w14:textId="77777777" w:rsidR="00B77FC2" w:rsidRPr="00B77FC2" w:rsidRDefault="00B77FC2" w:rsidP="00B77FC2">
      <w:pPr>
        <w:spacing w:after="0"/>
        <w:rPr>
          <w:rFonts w:ascii="Arial" w:hAnsi="Arial" w:cs="Arial"/>
          <w:sz w:val="20"/>
          <w:szCs w:val="20"/>
        </w:rPr>
      </w:pPr>
      <w:proofErr w:type="spellStart"/>
      <w:r w:rsidRPr="00B77FC2">
        <w:rPr>
          <w:rFonts w:ascii="Arial" w:hAnsi="Arial" w:cs="Arial"/>
          <w:sz w:val="20"/>
          <w:szCs w:val="20"/>
        </w:rPr>
        <w:t>μg</w:t>
      </w:r>
      <w:proofErr w:type="spellEnd"/>
      <w:r w:rsidRPr="00B77FC2">
        <w:rPr>
          <w:rFonts w:ascii="Arial" w:hAnsi="Arial" w:cs="Arial"/>
          <w:sz w:val="20"/>
          <w:szCs w:val="20"/>
        </w:rPr>
        <w:t>/m</w:t>
      </w:r>
      <w:r w:rsidRPr="00B77FC2">
        <w:rPr>
          <w:rFonts w:ascii="Arial" w:hAnsi="Arial" w:cs="Arial"/>
          <w:sz w:val="20"/>
          <w:szCs w:val="20"/>
          <w:vertAlign w:val="superscript"/>
        </w:rPr>
        <w:t>3</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Micrograms Per Cubic Meter</w:t>
      </w:r>
    </w:p>
    <w:p w14:paraId="306107EE"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Micron </w:t>
      </w:r>
      <w:r w:rsidRPr="00B77FC2">
        <w:rPr>
          <w:rFonts w:ascii="Arial" w:hAnsi="Arial" w:cs="Arial"/>
          <w:sz w:val="20"/>
          <w:szCs w:val="20"/>
        </w:rPr>
        <w:tab/>
      </w:r>
      <w:r w:rsidRPr="00B77FC2">
        <w:rPr>
          <w:rFonts w:ascii="Arial" w:hAnsi="Arial" w:cs="Arial"/>
          <w:sz w:val="20"/>
          <w:szCs w:val="20"/>
        </w:rPr>
        <w:tab/>
        <w:t>One Millionth of a Meter</w:t>
      </w:r>
    </w:p>
    <w:p w14:paraId="157A0AE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NAAQS </w:t>
      </w:r>
      <w:r w:rsidRPr="00B77FC2">
        <w:rPr>
          <w:rFonts w:ascii="Arial" w:hAnsi="Arial" w:cs="Arial"/>
          <w:sz w:val="20"/>
          <w:szCs w:val="20"/>
        </w:rPr>
        <w:tab/>
        <w:t>National Ambient Air Quality Standards</w:t>
      </w:r>
    </w:p>
    <w:p w14:paraId="06003647"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NH</w:t>
      </w:r>
      <w:r w:rsidRPr="00B77FC2">
        <w:rPr>
          <w:rFonts w:ascii="Arial" w:hAnsi="Arial" w:cs="Arial"/>
          <w:sz w:val="20"/>
          <w:szCs w:val="20"/>
          <w:vertAlign w:val="subscript"/>
        </w:rPr>
        <w:t>3</w:t>
      </w:r>
      <w:r w:rsidRPr="00B77FC2">
        <w:rPr>
          <w:rFonts w:ascii="Arial" w:hAnsi="Arial" w:cs="Arial"/>
          <w:sz w:val="20"/>
          <w:szCs w:val="20"/>
        </w:rPr>
        <w:tab/>
      </w:r>
      <w:r w:rsidRPr="00B77FC2">
        <w:rPr>
          <w:rFonts w:ascii="Arial" w:hAnsi="Arial" w:cs="Arial"/>
          <w:sz w:val="20"/>
          <w:szCs w:val="20"/>
        </w:rPr>
        <w:tab/>
        <w:t>Ammonia</w:t>
      </w:r>
    </w:p>
    <w:p w14:paraId="512F01C8"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NO</w:t>
      </w:r>
      <w:r w:rsidRPr="00B77FC2">
        <w:rPr>
          <w:rFonts w:ascii="Arial" w:hAnsi="Arial" w:cs="Arial"/>
          <w:sz w:val="20"/>
          <w:szCs w:val="20"/>
          <w:vertAlign w:val="subscript"/>
        </w:rPr>
        <w:t>x</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Nitrogen Oxides</w:t>
      </w:r>
    </w:p>
    <w:p w14:paraId="13643425" w14:textId="77777777" w:rsidR="00B77FC2" w:rsidRPr="00B77FC2" w:rsidRDefault="00063BEA" w:rsidP="00B77FC2">
      <w:pPr>
        <w:spacing w:after="0"/>
        <w:rPr>
          <w:rFonts w:ascii="Arial" w:hAnsi="Arial" w:cs="Arial"/>
          <w:sz w:val="20"/>
          <w:szCs w:val="20"/>
        </w:rPr>
      </w:pPr>
      <w:r>
        <w:rPr>
          <w:rFonts w:ascii="Arial" w:hAnsi="Arial" w:cs="Arial"/>
          <w:sz w:val="20"/>
          <w:szCs w:val="20"/>
        </w:rPr>
        <w:t>N</w:t>
      </w:r>
      <w:r w:rsidR="00B77FC2" w:rsidRPr="00B77FC2">
        <w:rPr>
          <w:rFonts w:ascii="Arial" w:hAnsi="Arial" w:cs="Arial"/>
          <w:sz w:val="20"/>
          <w:szCs w:val="20"/>
        </w:rPr>
        <w:t xml:space="preserve">NSR </w:t>
      </w:r>
      <w:r w:rsidR="00B77FC2" w:rsidRPr="00B77FC2">
        <w:rPr>
          <w:rFonts w:ascii="Arial" w:hAnsi="Arial" w:cs="Arial"/>
          <w:sz w:val="20"/>
          <w:szCs w:val="20"/>
        </w:rPr>
        <w:tab/>
      </w:r>
      <w:r w:rsidR="00B77FC2" w:rsidRPr="00B77FC2">
        <w:rPr>
          <w:rFonts w:ascii="Arial" w:hAnsi="Arial" w:cs="Arial"/>
          <w:sz w:val="20"/>
          <w:szCs w:val="20"/>
        </w:rPr>
        <w:tab/>
      </w:r>
      <w:r>
        <w:rPr>
          <w:rFonts w:ascii="Arial" w:hAnsi="Arial" w:cs="Arial"/>
          <w:sz w:val="20"/>
          <w:szCs w:val="20"/>
        </w:rPr>
        <w:t xml:space="preserve">Nonattainment </w:t>
      </w:r>
      <w:r w:rsidR="00B77FC2" w:rsidRPr="00B77FC2">
        <w:rPr>
          <w:rFonts w:ascii="Arial" w:hAnsi="Arial" w:cs="Arial"/>
          <w:sz w:val="20"/>
          <w:szCs w:val="20"/>
        </w:rPr>
        <w:t>New Source Review</w:t>
      </w:r>
    </w:p>
    <w:p w14:paraId="063124CB"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 xml:space="preserve">PM </w:t>
      </w:r>
      <w:r w:rsidRPr="00B77FC2">
        <w:rPr>
          <w:rFonts w:ascii="Arial" w:hAnsi="Arial" w:cs="Arial"/>
          <w:sz w:val="20"/>
          <w:szCs w:val="20"/>
        </w:rPr>
        <w:tab/>
      </w:r>
      <w:r w:rsidRPr="00B77FC2">
        <w:rPr>
          <w:rFonts w:ascii="Arial" w:hAnsi="Arial" w:cs="Arial"/>
          <w:sz w:val="20"/>
          <w:szCs w:val="20"/>
        </w:rPr>
        <w:tab/>
        <w:t>Particulate Matter</w:t>
      </w:r>
    </w:p>
    <w:p w14:paraId="265D3FD0"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10</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10 Microns in Diameter</w:t>
      </w:r>
    </w:p>
    <w:p w14:paraId="6265CDA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PM</w:t>
      </w:r>
      <w:r w:rsidRPr="00B77FC2">
        <w:rPr>
          <w:rFonts w:ascii="Arial" w:hAnsi="Arial" w:cs="Arial"/>
          <w:sz w:val="20"/>
          <w:szCs w:val="20"/>
          <w:vertAlign w:val="subscript"/>
        </w:rPr>
        <w:t>2.5</w:t>
      </w:r>
      <w:r w:rsidRPr="00B77FC2">
        <w:rPr>
          <w:rFonts w:ascii="Arial" w:hAnsi="Arial" w:cs="Arial"/>
          <w:sz w:val="20"/>
          <w:szCs w:val="20"/>
        </w:rPr>
        <w:t xml:space="preserve"> </w:t>
      </w:r>
      <w:r w:rsidRPr="00B77FC2">
        <w:rPr>
          <w:rFonts w:ascii="Arial" w:hAnsi="Arial" w:cs="Arial"/>
          <w:sz w:val="20"/>
          <w:szCs w:val="20"/>
        </w:rPr>
        <w:tab/>
      </w:r>
      <w:r w:rsidRPr="00B77FC2">
        <w:rPr>
          <w:rFonts w:ascii="Arial" w:hAnsi="Arial" w:cs="Arial"/>
          <w:sz w:val="20"/>
          <w:szCs w:val="20"/>
        </w:rPr>
        <w:tab/>
        <w:t>Particulate Matter Smaller Than 2.5 Microns in Diameter</w:t>
      </w:r>
    </w:p>
    <w:p w14:paraId="768F5742" w14:textId="6FBEA3E2" w:rsidR="00257FC0" w:rsidRDefault="00257FC0" w:rsidP="00B77FC2">
      <w:pPr>
        <w:spacing w:after="0"/>
        <w:rPr>
          <w:rFonts w:ascii="Arial" w:hAnsi="Arial" w:cs="Arial"/>
          <w:sz w:val="20"/>
          <w:szCs w:val="20"/>
        </w:rPr>
      </w:pPr>
      <w:r>
        <w:rPr>
          <w:rFonts w:ascii="Arial" w:hAnsi="Arial" w:cs="Arial"/>
          <w:sz w:val="20"/>
          <w:szCs w:val="20"/>
        </w:rPr>
        <w:t>R-307</w:t>
      </w:r>
      <w:r>
        <w:rPr>
          <w:rFonts w:ascii="Arial" w:hAnsi="Arial" w:cs="Arial"/>
          <w:sz w:val="20"/>
          <w:szCs w:val="20"/>
        </w:rPr>
        <w:tab/>
      </w:r>
      <w:r>
        <w:rPr>
          <w:rFonts w:ascii="Arial" w:hAnsi="Arial" w:cs="Arial"/>
          <w:sz w:val="20"/>
          <w:szCs w:val="20"/>
        </w:rPr>
        <w:tab/>
        <w:t>Utah Administrative Code Air Quality Rules</w:t>
      </w:r>
    </w:p>
    <w:p w14:paraId="7FA1FC46" w14:textId="4A674E67" w:rsidR="002A7717" w:rsidRDefault="002A7717" w:rsidP="00B77FC2">
      <w:pPr>
        <w:spacing w:after="0"/>
        <w:rPr>
          <w:rFonts w:ascii="Arial" w:hAnsi="Arial" w:cs="Arial"/>
          <w:sz w:val="20"/>
          <w:szCs w:val="20"/>
        </w:rPr>
      </w:pPr>
      <w:r>
        <w:rPr>
          <w:rFonts w:ascii="Arial" w:hAnsi="Arial" w:cs="Arial"/>
          <w:sz w:val="20"/>
          <w:szCs w:val="20"/>
        </w:rPr>
        <w:t>Provo NAA</w:t>
      </w:r>
      <w:r>
        <w:rPr>
          <w:rFonts w:ascii="Arial" w:hAnsi="Arial" w:cs="Arial"/>
          <w:sz w:val="20"/>
          <w:szCs w:val="20"/>
        </w:rPr>
        <w:tab/>
        <w:t>Provo Nonattainment Area</w:t>
      </w:r>
    </w:p>
    <w:p w14:paraId="741365C6"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RACM</w:t>
      </w:r>
      <w:r w:rsidRPr="00B77FC2">
        <w:rPr>
          <w:rFonts w:ascii="Arial" w:hAnsi="Arial" w:cs="Arial"/>
          <w:sz w:val="20"/>
          <w:szCs w:val="20"/>
        </w:rPr>
        <w:tab/>
      </w:r>
      <w:r w:rsidRPr="00B77FC2">
        <w:rPr>
          <w:rFonts w:ascii="Arial" w:hAnsi="Arial" w:cs="Arial"/>
          <w:sz w:val="20"/>
          <w:szCs w:val="20"/>
        </w:rPr>
        <w:tab/>
        <w:t>Reasonably Available Control Measures</w:t>
      </w:r>
    </w:p>
    <w:p w14:paraId="2734653A"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RACT</w:t>
      </w:r>
      <w:r w:rsidRPr="00B77FC2">
        <w:rPr>
          <w:rFonts w:ascii="Arial" w:hAnsi="Arial" w:cs="Arial"/>
          <w:sz w:val="20"/>
          <w:szCs w:val="20"/>
        </w:rPr>
        <w:tab/>
      </w:r>
      <w:r w:rsidRPr="00B77FC2">
        <w:rPr>
          <w:rFonts w:ascii="Arial" w:hAnsi="Arial" w:cs="Arial"/>
          <w:sz w:val="20"/>
          <w:szCs w:val="20"/>
        </w:rPr>
        <w:tab/>
        <w:t>Reasonably Available Control Technology</w:t>
      </w:r>
    </w:p>
    <w:p w14:paraId="201C2522" w14:textId="77777777" w:rsidR="00B77FC2" w:rsidRPr="00B77FC2" w:rsidRDefault="00B77FC2" w:rsidP="00B77FC2">
      <w:pPr>
        <w:spacing w:after="0"/>
        <w:rPr>
          <w:rFonts w:ascii="Arial" w:hAnsi="Arial" w:cs="Arial"/>
          <w:sz w:val="20"/>
          <w:szCs w:val="20"/>
        </w:rPr>
      </w:pPr>
      <w:r w:rsidRPr="00B77FC2">
        <w:rPr>
          <w:rFonts w:ascii="Arial" w:hAnsi="Arial" w:cs="Arial"/>
          <w:sz w:val="20"/>
          <w:szCs w:val="20"/>
        </w:rPr>
        <w:t>RFP</w:t>
      </w:r>
      <w:r w:rsidRPr="00B77FC2">
        <w:rPr>
          <w:rFonts w:ascii="Arial" w:hAnsi="Arial" w:cs="Arial"/>
          <w:sz w:val="20"/>
          <w:szCs w:val="20"/>
        </w:rPr>
        <w:tab/>
      </w:r>
      <w:r w:rsidRPr="00B77FC2">
        <w:rPr>
          <w:rFonts w:ascii="Arial" w:hAnsi="Arial" w:cs="Arial"/>
          <w:sz w:val="20"/>
          <w:szCs w:val="20"/>
        </w:rPr>
        <w:tab/>
        <w:t>Reasonable Further Progress</w:t>
      </w:r>
    </w:p>
    <w:p w14:paraId="72C952A1" w14:textId="77777777" w:rsidR="00B77FC2" w:rsidRPr="003A778A" w:rsidRDefault="00B77FC2" w:rsidP="00B77FC2">
      <w:pPr>
        <w:spacing w:after="0"/>
        <w:rPr>
          <w:rFonts w:ascii="Arial" w:hAnsi="Arial" w:cs="Arial"/>
          <w:sz w:val="20"/>
          <w:szCs w:val="20"/>
        </w:rPr>
      </w:pPr>
      <w:r w:rsidRPr="00B77FC2">
        <w:rPr>
          <w:rFonts w:ascii="Arial" w:hAnsi="Arial" w:cs="Arial"/>
          <w:sz w:val="20"/>
          <w:szCs w:val="20"/>
        </w:rPr>
        <w:t>SIP</w:t>
      </w:r>
      <w:r w:rsidRPr="00B77FC2">
        <w:rPr>
          <w:rFonts w:ascii="Arial" w:hAnsi="Arial" w:cs="Arial"/>
          <w:sz w:val="20"/>
          <w:szCs w:val="20"/>
        </w:rPr>
        <w:tab/>
      </w:r>
      <w:r w:rsidRPr="003A778A">
        <w:rPr>
          <w:rFonts w:ascii="Arial" w:hAnsi="Arial" w:cs="Arial"/>
          <w:sz w:val="20"/>
          <w:szCs w:val="20"/>
        </w:rPr>
        <w:tab/>
        <w:t>State Implementation Plan</w:t>
      </w:r>
    </w:p>
    <w:p w14:paraId="67F43195"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SMAT</w:t>
      </w:r>
      <w:r w:rsidRPr="003A778A">
        <w:rPr>
          <w:rFonts w:ascii="Arial" w:hAnsi="Arial" w:cs="Arial"/>
          <w:sz w:val="20"/>
          <w:szCs w:val="20"/>
        </w:rPr>
        <w:tab/>
      </w:r>
      <w:r w:rsidRPr="003A778A">
        <w:rPr>
          <w:rFonts w:ascii="Arial" w:hAnsi="Arial" w:cs="Arial"/>
          <w:sz w:val="20"/>
          <w:szCs w:val="20"/>
        </w:rPr>
        <w:tab/>
        <w:t>Software for Model Attainment Test</w:t>
      </w:r>
    </w:p>
    <w:p w14:paraId="1E1F169E"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SMOKE</w:t>
      </w:r>
      <w:r w:rsidRPr="003A778A">
        <w:rPr>
          <w:rFonts w:ascii="Arial" w:hAnsi="Arial" w:cs="Arial"/>
          <w:sz w:val="20"/>
          <w:szCs w:val="20"/>
        </w:rPr>
        <w:tab/>
        <w:t xml:space="preserve">Sparse Matrix Operator </w:t>
      </w:r>
      <w:proofErr w:type="spellStart"/>
      <w:r w:rsidRPr="003A778A">
        <w:rPr>
          <w:rFonts w:ascii="Arial" w:hAnsi="Arial" w:cs="Arial"/>
          <w:sz w:val="20"/>
          <w:szCs w:val="20"/>
        </w:rPr>
        <w:t>Kernal</w:t>
      </w:r>
      <w:proofErr w:type="spellEnd"/>
      <w:r w:rsidRPr="003A778A">
        <w:rPr>
          <w:rFonts w:ascii="Arial" w:hAnsi="Arial" w:cs="Arial"/>
          <w:sz w:val="20"/>
          <w:szCs w:val="20"/>
        </w:rPr>
        <w:t xml:space="preserve"> Emissions</w:t>
      </w:r>
    </w:p>
    <w:p w14:paraId="29B37E0C"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SO</w:t>
      </w:r>
      <w:r w:rsidRPr="003A778A">
        <w:rPr>
          <w:rFonts w:ascii="Arial" w:hAnsi="Arial" w:cs="Arial"/>
          <w:sz w:val="20"/>
          <w:szCs w:val="20"/>
          <w:vertAlign w:val="subscript"/>
        </w:rPr>
        <w:t>2</w:t>
      </w:r>
      <w:r w:rsidRPr="003A778A">
        <w:rPr>
          <w:rFonts w:ascii="Arial" w:hAnsi="Arial" w:cs="Arial"/>
          <w:sz w:val="20"/>
          <w:szCs w:val="20"/>
        </w:rPr>
        <w:t xml:space="preserve"> </w:t>
      </w:r>
      <w:r w:rsidRPr="003A778A">
        <w:rPr>
          <w:rFonts w:ascii="Arial" w:hAnsi="Arial" w:cs="Arial"/>
          <w:sz w:val="20"/>
          <w:szCs w:val="20"/>
        </w:rPr>
        <w:tab/>
      </w:r>
      <w:r w:rsidRPr="003A778A">
        <w:rPr>
          <w:rFonts w:ascii="Arial" w:hAnsi="Arial" w:cs="Arial"/>
          <w:sz w:val="20"/>
          <w:szCs w:val="20"/>
        </w:rPr>
        <w:tab/>
        <w:t>Sulfur Dioxide</w:t>
      </w:r>
    </w:p>
    <w:p w14:paraId="65F7533F" w14:textId="77777777" w:rsidR="00B77FC2" w:rsidRPr="003A778A" w:rsidRDefault="00B77FC2" w:rsidP="00B77FC2">
      <w:pPr>
        <w:spacing w:after="0"/>
        <w:rPr>
          <w:rFonts w:ascii="Arial" w:hAnsi="Arial" w:cs="Arial"/>
          <w:sz w:val="20"/>
          <w:szCs w:val="20"/>
        </w:rPr>
      </w:pPr>
      <w:proofErr w:type="spellStart"/>
      <w:r w:rsidRPr="003A778A">
        <w:rPr>
          <w:rFonts w:ascii="Arial" w:hAnsi="Arial" w:cs="Arial"/>
          <w:sz w:val="20"/>
          <w:szCs w:val="20"/>
        </w:rPr>
        <w:t>SO</w:t>
      </w:r>
      <w:r w:rsidRPr="003A778A">
        <w:rPr>
          <w:rFonts w:ascii="Arial" w:hAnsi="Arial" w:cs="Arial"/>
          <w:sz w:val="20"/>
          <w:szCs w:val="20"/>
          <w:vertAlign w:val="subscript"/>
        </w:rPr>
        <w:t>x</w:t>
      </w:r>
      <w:proofErr w:type="spellEnd"/>
      <w:r w:rsidRPr="003A778A">
        <w:rPr>
          <w:rFonts w:ascii="Arial" w:hAnsi="Arial" w:cs="Arial"/>
          <w:sz w:val="20"/>
          <w:szCs w:val="20"/>
        </w:rPr>
        <w:t xml:space="preserve"> </w:t>
      </w:r>
      <w:r w:rsidRPr="003A778A">
        <w:rPr>
          <w:rFonts w:ascii="Arial" w:hAnsi="Arial" w:cs="Arial"/>
          <w:sz w:val="20"/>
          <w:szCs w:val="20"/>
        </w:rPr>
        <w:tab/>
      </w:r>
      <w:r w:rsidRPr="003A778A">
        <w:rPr>
          <w:rFonts w:ascii="Arial" w:hAnsi="Arial" w:cs="Arial"/>
          <w:sz w:val="20"/>
          <w:szCs w:val="20"/>
        </w:rPr>
        <w:tab/>
        <w:t>Sulfur Oxides</w:t>
      </w:r>
    </w:p>
    <w:p w14:paraId="5C417D43" w14:textId="77777777" w:rsidR="00867B9B" w:rsidRPr="003A778A" w:rsidRDefault="00867B9B" w:rsidP="00B77FC2">
      <w:pPr>
        <w:spacing w:after="0"/>
        <w:rPr>
          <w:rFonts w:ascii="Arial" w:hAnsi="Arial" w:cs="Arial"/>
          <w:sz w:val="20"/>
          <w:szCs w:val="20"/>
        </w:rPr>
      </w:pPr>
      <w:r w:rsidRPr="003A778A">
        <w:rPr>
          <w:rFonts w:ascii="Arial" w:hAnsi="Arial" w:cs="Arial"/>
          <w:sz w:val="20"/>
          <w:szCs w:val="20"/>
        </w:rPr>
        <w:t>TPY</w:t>
      </w:r>
      <w:r w:rsidRPr="003A778A">
        <w:rPr>
          <w:rFonts w:ascii="Arial" w:hAnsi="Arial" w:cs="Arial"/>
          <w:sz w:val="20"/>
          <w:szCs w:val="20"/>
        </w:rPr>
        <w:tab/>
      </w:r>
      <w:r w:rsidRPr="003A778A">
        <w:rPr>
          <w:rFonts w:ascii="Arial" w:hAnsi="Arial" w:cs="Arial"/>
          <w:sz w:val="20"/>
          <w:szCs w:val="20"/>
        </w:rPr>
        <w:tab/>
        <w:t>Tons Per Year</w:t>
      </w:r>
    </w:p>
    <w:p w14:paraId="576F6A53"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TSD</w:t>
      </w:r>
      <w:r w:rsidRPr="003A778A">
        <w:rPr>
          <w:rFonts w:ascii="Arial" w:hAnsi="Arial" w:cs="Arial"/>
          <w:sz w:val="20"/>
          <w:szCs w:val="20"/>
        </w:rPr>
        <w:tab/>
      </w:r>
      <w:r w:rsidRPr="003A778A">
        <w:rPr>
          <w:rFonts w:ascii="Arial" w:hAnsi="Arial" w:cs="Arial"/>
          <w:sz w:val="20"/>
          <w:szCs w:val="20"/>
        </w:rPr>
        <w:tab/>
        <w:t>Technical Support Document</w:t>
      </w:r>
    </w:p>
    <w:p w14:paraId="684EDD13" w14:textId="77777777" w:rsidR="00257FC0" w:rsidRPr="003A778A" w:rsidRDefault="00257FC0" w:rsidP="00B77FC2">
      <w:pPr>
        <w:spacing w:after="0"/>
        <w:rPr>
          <w:rFonts w:ascii="Arial" w:hAnsi="Arial" w:cs="Arial"/>
          <w:sz w:val="20"/>
          <w:szCs w:val="20"/>
        </w:rPr>
      </w:pPr>
      <w:r w:rsidRPr="003A778A">
        <w:rPr>
          <w:rFonts w:ascii="Arial" w:hAnsi="Arial" w:cs="Arial"/>
          <w:sz w:val="20"/>
          <w:szCs w:val="20"/>
        </w:rPr>
        <w:t>UAC</w:t>
      </w:r>
      <w:r w:rsidRPr="003A778A">
        <w:rPr>
          <w:rFonts w:ascii="Arial" w:hAnsi="Arial" w:cs="Arial"/>
          <w:sz w:val="20"/>
          <w:szCs w:val="20"/>
        </w:rPr>
        <w:tab/>
      </w:r>
      <w:r w:rsidRPr="003A778A">
        <w:rPr>
          <w:rFonts w:ascii="Arial" w:hAnsi="Arial" w:cs="Arial"/>
          <w:sz w:val="20"/>
          <w:szCs w:val="20"/>
        </w:rPr>
        <w:tab/>
        <w:t>Utah Administrative Code</w:t>
      </w:r>
    </w:p>
    <w:p w14:paraId="34840376" w14:textId="77777777" w:rsidR="00FC6437" w:rsidRPr="003A778A" w:rsidRDefault="00FC6437" w:rsidP="00B77FC2">
      <w:pPr>
        <w:spacing w:after="0"/>
        <w:rPr>
          <w:rFonts w:ascii="Arial" w:hAnsi="Arial" w:cs="Arial"/>
          <w:sz w:val="20"/>
          <w:szCs w:val="20"/>
        </w:rPr>
      </w:pPr>
      <w:r w:rsidRPr="003A778A">
        <w:rPr>
          <w:rFonts w:ascii="Arial" w:hAnsi="Arial" w:cs="Arial"/>
          <w:sz w:val="20"/>
          <w:szCs w:val="20"/>
        </w:rPr>
        <w:t>UT</w:t>
      </w:r>
      <w:r w:rsidRPr="003A778A">
        <w:rPr>
          <w:rFonts w:ascii="Arial" w:hAnsi="Arial" w:cs="Arial"/>
          <w:sz w:val="20"/>
          <w:szCs w:val="20"/>
        </w:rPr>
        <w:tab/>
      </w:r>
      <w:r w:rsidRPr="003A778A">
        <w:rPr>
          <w:rFonts w:ascii="Arial" w:hAnsi="Arial" w:cs="Arial"/>
          <w:sz w:val="20"/>
          <w:szCs w:val="20"/>
        </w:rPr>
        <w:tab/>
        <w:t>Utah</w:t>
      </w:r>
    </w:p>
    <w:p w14:paraId="47858C60" w14:textId="77777777" w:rsidR="00FC6437" w:rsidRPr="003A778A" w:rsidRDefault="00FC6437" w:rsidP="00B77FC2">
      <w:pPr>
        <w:spacing w:after="0"/>
        <w:rPr>
          <w:rFonts w:ascii="Arial" w:hAnsi="Arial" w:cs="Arial"/>
          <w:sz w:val="20"/>
          <w:szCs w:val="20"/>
        </w:rPr>
      </w:pPr>
      <w:r w:rsidRPr="003A778A">
        <w:rPr>
          <w:rFonts w:ascii="Arial" w:hAnsi="Arial" w:cs="Arial"/>
          <w:sz w:val="20"/>
          <w:szCs w:val="20"/>
        </w:rPr>
        <w:t>VMT</w:t>
      </w:r>
      <w:r w:rsidRPr="003A778A">
        <w:rPr>
          <w:rFonts w:ascii="Arial" w:hAnsi="Arial" w:cs="Arial"/>
          <w:sz w:val="20"/>
          <w:szCs w:val="20"/>
        </w:rPr>
        <w:tab/>
      </w:r>
      <w:r w:rsidRPr="003A778A">
        <w:rPr>
          <w:rFonts w:ascii="Arial" w:hAnsi="Arial" w:cs="Arial"/>
          <w:sz w:val="20"/>
          <w:szCs w:val="20"/>
        </w:rPr>
        <w:tab/>
        <w:t>Vehicle Miles Travelled</w:t>
      </w:r>
    </w:p>
    <w:p w14:paraId="696715CA" w14:textId="77777777" w:rsidR="00B77FC2" w:rsidRPr="003A778A" w:rsidRDefault="00B77FC2" w:rsidP="00B77FC2">
      <w:pPr>
        <w:spacing w:after="0"/>
        <w:rPr>
          <w:rFonts w:ascii="Arial" w:hAnsi="Arial" w:cs="Arial"/>
          <w:sz w:val="20"/>
          <w:szCs w:val="20"/>
        </w:rPr>
      </w:pPr>
      <w:r w:rsidRPr="003A778A">
        <w:rPr>
          <w:rFonts w:ascii="Arial" w:hAnsi="Arial" w:cs="Arial"/>
          <w:sz w:val="20"/>
          <w:szCs w:val="20"/>
        </w:rPr>
        <w:t xml:space="preserve">VOC </w:t>
      </w:r>
      <w:r w:rsidRPr="003A778A">
        <w:rPr>
          <w:rFonts w:ascii="Arial" w:hAnsi="Arial" w:cs="Arial"/>
          <w:sz w:val="20"/>
          <w:szCs w:val="20"/>
        </w:rPr>
        <w:tab/>
      </w:r>
      <w:r w:rsidRPr="003A778A">
        <w:rPr>
          <w:rFonts w:ascii="Arial" w:hAnsi="Arial" w:cs="Arial"/>
          <w:sz w:val="20"/>
          <w:szCs w:val="20"/>
        </w:rPr>
        <w:tab/>
        <w:t>Volatile Organic Compounds</w:t>
      </w:r>
    </w:p>
    <w:p w14:paraId="32BBDB32" w14:textId="77777777" w:rsidR="00B77FC2" w:rsidRPr="003A778A" w:rsidRDefault="00B77FC2" w:rsidP="00B77FC2">
      <w:pPr>
        <w:spacing w:after="0"/>
        <w:rPr>
          <w:rFonts w:ascii="Arial" w:hAnsi="Arial" w:cs="Arial"/>
          <w:sz w:val="20"/>
          <w:szCs w:val="20"/>
        </w:rPr>
        <w:sectPr w:rsidR="00B77FC2" w:rsidRPr="003A778A" w:rsidSect="00944A74">
          <w:footerReference w:type="first" r:id="rId12"/>
          <w:pgSz w:w="12240" w:h="15840"/>
          <w:pgMar w:top="1440" w:right="1080" w:bottom="1440" w:left="1800" w:header="720" w:footer="720" w:gutter="0"/>
          <w:pgNumType w:fmt="lowerRoman" w:start="1"/>
          <w:cols w:space="720"/>
          <w:docGrid w:linePitch="360"/>
        </w:sectPr>
      </w:pPr>
      <w:r w:rsidRPr="003A778A">
        <w:rPr>
          <w:rFonts w:ascii="Arial" w:hAnsi="Arial" w:cs="Arial"/>
          <w:sz w:val="20"/>
          <w:szCs w:val="20"/>
        </w:rPr>
        <w:t>WRF</w:t>
      </w:r>
      <w:r w:rsidRPr="003A778A">
        <w:rPr>
          <w:rFonts w:ascii="Arial" w:hAnsi="Arial" w:cs="Arial"/>
          <w:sz w:val="20"/>
          <w:szCs w:val="20"/>
        </w:rPr>
        <w:tab/>
      </w:r>
      <w:r w:rsidRPr="003A778A">
        <w:rPr>
          <w:rFonts w:ascii="Arial" w:hAnsi="Arial" w:cs="Arial"/>
          <w:sz w:val="20"/>
          <w:szCs w:val="20"/>
        </w:rPr>
        <w:tab/>
        <w:t xml:space="preserve">Weather Research and Forecasting  </w:t>
      </w:r>
    </w:p>
    <w:p w14:paraId="6BD4EDD2" w14:textId="3C828AC9" w:rsidR="00E72B26" w:rsidRPr="00B0210D" w:rsidRDefault="00D405E8" w:rsidP="00B610AE">
      <w:pPr>
        <w:pStyle w:val="Title"/>
        <w:pBdr>
          <w:bottom w:val="none" w:sz="0" w:space="0" w:color="auto"/>
        </w:pBdr>
      </w:pPr>
      <w:r w:rsidRPr="00B0210D">
        <w:t>Section IX.A.</w:t>
      </w:r>
      <w:r w:rsidR="00B74474">
        <w:t>27</w:t>
      </w:r>
      <w:r w:rsidRPr="00B0210D">
        <w:t xml:space="preserve"> </w:t>
      </w:r>
    </w:p>
    <w:p w14:paraId="62B47744" w14:textId="57651A29" w:rsidR="00D405E8" w:rsidRPr="00B0210D" w:rsidRDefault="00D405E8" w:rsidP="00B610AE">
      <w:pPr>
        <w:pStyle w:val="Title"/>
        <w:pBdr>
          <w:bottom w:val="none" w:sz="0" w:space="0" w:color="auto"/>
        </w:pBdr>
        <w:tabs>
          <w:tab w:val="right" w:pos="9360"/>
        </w:tabs>
      </w:pPr>
      <w:r w:rsidRPr="00B0210D">
        <w:t>PM</w:t>
      </w:r>
      <w:r w:rsidRPr="00A72F45">
        <w:rPr>
          <w:vertAlign w:val="subscript"/>
        </w:rPr>
        <w:t xml:space="preserve">2.5 </w:t>
      </w:r>
      <w:r w:rsidRPr="00B0210D">
        <w:t xml:space="preserve">Maintenance Provisions for </w:t>
      </w:r>
      <w:r w:rsidR="00310DD4">
        <w:t xml:space="preserve">the </w:t>
      </w:r>
      <w:r w:rsidR="00B74474">
        <w:t>Provo</w:t>
      </w:r>
      <w:r w:rsidRPr="00B0210D">
        <w:t>, UT</w:t>
      </w:r>
      <w:r w:rsidR="00310DD4">
        <w:t xml:space="preserve"> Nonattainment Area</w:t>
      </w:r>
      <w:r w:rsidR="00B610AE">
        <w:tab/>
      </w:r>
    </w:p>
    <w:p w14:paraId="40504DC9" w14:textId="0AEE3AEB" w:rsidR="00862C8F" w:rsidRDefault="003B7836" w:rsidP="00070031">
      <w:pPr>
        <w:pStyle w:val="Heading1"/>
        <w:numPr>
          <w:ilvl w:val="0"/>
          <w:numId w:val="0"/>
        </w:numPr>
      </w:pPr>
      <w:bookmarkStart w:id="0" w:name="_Toc17201182"/>
      <w:r>
        <w:t>IX.A.</w:t>
      </w:r>
      <w:r w:rsidR="00B74474">
        <w:t>27</w:t>
      </w:r>
      <w:r w:rsidR="00D405E8" w:rsidRPr="00196516">
        <w:t>.</w:t>
      </w:r>
      <w:proofErr w:type="spellStart"/>
      <w:r w:rsidR="00D405E8" w:rsidRPr="00196516">
        <w:t>a</w:t>
      </w:r>
      <w:proofErr w:type="spellEnd"/>
      <w:r w:rsidR="00D405E8" w:rsidRPr="00196516">
        <w:t xml:space="preserve"> </w:t>
      </w:r>
      <w:r w:rsidR="00862C8F" w:rsidRPr="00196516">
        <w:t>Introduction</w:t>
      </w:r>
      <w:bookmarkEnd w:id="0"/>
    </w:p>
    <w:p w14:paraId="63C4E8F1" w14:textId="1C631852" w:rsidR="00A07098" w:rsidRDefault="008B1346" w:rsidP="00E875DA">
      <w:r>
        <w:t xml:space="preserve">The </w:t>
      </w:r>
      <w:r w:rsidR="00B74474" w:rsidRPr="00B74474">
        <w:rPr>
          <w:color w:val="00B050"/>
        </w:rPr>
        <w:t>Provo</w:t>
      </w:r>
      <w:r>
        <w:t xml:space="preserve"> Nonattainment Area (</w:t>
      </w:r>
      <w:r w:rsidR="00B74474" w:rsidRPr="00B74474">
        <w:rPr>
          <w:color w:val="00B050"/>
        </w:rPr>
        <w:t>Provo</w:t>
      </w:r>
      <w:r w:rsidRPr="00B74474">
        <w:rPr>
          <w:color w:val="00B050"/>
        </w:rPr>
        <w:t xml:space="preserve"> NAA</w:t>
      </w:r>
      <w:r>
        <w:t xml:space="preserve">) has attained the 2006 </w:t>
      </w:r>
      <w:r w:rsidRPr="00EF2C3F">
        <w:t>PM</w:t>
      </w:r>
      <w:r w:rsidRPr="00EF2C3F">
        <w:rPr>
          <w:vertAlign w:val="subscript"/>
        </w:rPr>
        <w:t>2.5</w:t>
      </w:r>
      <w:r w:rsidRPr="00EF2C3F">
        <w:t xml:space="preserve"> </w:t>
      </w:r>
      <w:r>
        <w:t>24-hour National Ambient Air Quality Standard</w:t>
      </w:r>
      <w:r w:rsidR="00A07098">
        <w:t xml:space="preserve"> (NAAQS)</w:t>
      </w:r>
      <w:r>
        <w:t xml:space="preserve">. </w:t>
      </w:r>
      <w:r w:rsidR="006E6B36">
        <w:t>As a result, this</w:t>
      </w:r>
      <w:r w:rsidR="001504A6">
        <w:t xml:space="preserve"> Section </w:t>
      </w:r>
      <w:r w:rsidR="006E6B36">
        <w:t>has been added to</w:t>
      </w:r>
      <w:r w:rsidR="001504A6">
        <w:t xml:space="preserve"> the State Implementation Plan</w:t>
      </w:r>
      <w:r w:rsidR="00A07098">
        <w:t xml:space="preserve"> (SIP)</w:t>
      </w:r>
      <w:r w:rsidR="001504A6">
        <w:t xml:space="preserve"> </w:t>
      </w:r>
      <w:r w:rsidR="006E6B36">
        <w:t xml:space="preserve">to </w:t>
      </w:r>
      <w:r w:rsidR="00A07098">
        <w:t>demonstrate</w:t>
      </w:r>
      <w:r>
        <w:t xml:space="preserve"> that </w:t>
      </w:r>
      <w:r w:rsidR="004D31BC">
        <w:t>the</w:t>
      </w:r>
      <w:r w:rsidR="00B74474">
        <w:t xml:space="preserve"> </w:t>
      </w:r>
      <w:r w:rsidR="00B74474" w:rsidRPr="00B74474">
        <w:rPr>
          <w:color w:val="00B050"/>
        </w:rPr>
        <w:t>Provo</w:t>
      </w:r>
      <w:r w:rsidR="004D31BC" w:rsidRPr="00B74474">
        <w:rPr>
          <w:color w:val="00B050"/>
        </w:rPr>
        <w:t xml:space="preserve"> NAA</w:t>
      </w:r>
      <w:r w:rsidR="004D31BC">
        <w:t xml:space="preserve"> is eligible for </w:t>
      </w:r>
      <w:proofErr w:type="spellStart"/>
      <w:r w:rsidR="004D31BC">
        <w:t>redesignation</w:t>
      </w:r>
      <w:proofErr w:type="spellEnd"/>
      <w:r w:rsidR="009F00F2">
        <w:t xml:space="preserve"> to attainment</w:t>
      </w:r>
      <w:r w:rsidR="00D16248">
        <w:t xml:space="preserve">. </w:t>
      </w:r>
      <w:r w:rsidR="001504A6">
        <w:t>Under Section 107(d)(3)(E) of the Clean Air Act (CAA or the Act), a</w:t>
      </w:r>
      <w:r w:rsidR="007F3A49">
        <w:t xml:space="preserve"> nonattainment area is eligible for </w:t>
      </w:r>
      <w:proofErr w:type="spellStart"/>
      <w:r w:rsidR="007F3A49">
        <w:t>redesignation</w:t>
      </w:r>
      <w:proofErr w:type="spellEnd"/>
      <w:r w:rsidR="007F3A49">
        <w:t xml:space="preserve"> when the area has</w:t>
      </w:r>
      <w:r w:rsidR="00914CC4">
        <w:t xml:space="preserve"> met the following requirements: (1) the area has</w:t>
      </w:r>
      <w:r w:rsidR="007F3A49">
        <w:t xml:space="preserve"> attained the national ambient air quality standard</w:t>
      </w:r>
      <w:r w:rsidR="00914CC4">
        <w:t xml:space="preserve">, (2) </w:t>
      </w:r>
      <w:r w:rsidR="007F3A49">
        <w:t xml:space="preserve">the area has an </w:t>
      </w:r>
      <w:r w:rsidR="00E51B93">
        <w:t>Environmental Protection Agency (</w:t>
      </w:r>
      <w:r w:rsidR="007F3A49">
        <w:t>EPA</w:t>
      </w:r>
      <w:r w:rsidR="00E51B93">
        <w:t>)</w:t>
      </w:r>
      <w:r w:rsidR="007F3A49">
        <w:t xml:space="preserve"> approved SIP, </w:t>
      </w:r>
      <w:r w:rsidR="00914CC4">
        <w:t xml:space="preserve">(3) </w:t>
      </w:r>
      <w:r w:rsidR="007F3A49">
        <w:t xml:space="preserve">the improvement in air quality is due to permanent and enforceable reductions in emissions resulting from implementation of the SIP, </w:t>
      </w:r>
      <w:r w:rsidR="00914CC4">
        <w:t xml:space="preserve">(4) </w:t>
      </w:r>
      <w:r w:rsidR="007F3A49" w:rsidRPr="007F3A49">
        <w:t xml:space="preserve">the </w:t>
      </w:r>
      <w:r w:rsidR="007F3A49">
        <w:t>state</w:t>
      </w:r>
      <w:r w:rsidR="007F3A49" w:rsidRPr="007F3A49">
        <w:t xml:space="preserve"> has met </w:t>
      </w:r>
      <w:r w:rsidR="007F3A49">
        <w:t>the SIP requirements of</w:t>
      </w:r>
      <w:r w:rsidR="007F3A49" w:rsidRPr="007F3A49">
        <w:t xml:space="preserve"> </w:t>
      </w:r>
      <w:r w:rsidR="007F3A49">
        <w:t>S</w:t>
      </w:r>
      <w:r w:rsidR="007F3A49" w:rsidRPr="007F3A49">
        <w:t>ection 110 and Part D</w:t>
      </w:r>
      <w:r w:rsidR="007F3A49">
        <w:t xml:space="preserve"> of the Act, and </w:t>
      </w:r>
      <w:r w:rsidR="00914CC4">
        <w:t xml:space="preserve">(5) </w:t>
      </w:r>
      <w:r w:rsidR="007F3A49">
        <w:t>the area has an EPA approved</w:t>
      </w:r>
      <w:r w:rsidR="007F3A49" w:rsidRPr="007F3A49">
        <w:t xml:space="preserve"> Maintenance Plan.</w:t>
      </w:r>
      <w:r w:rsidR="007F3A49">
        <w:t xml:space="preserve"> </w:t>
      </w:r>
    </w:p>
    <w:p w14:paraId="142945FD" w14:textId="4375F08E" w:rsidR="00914CC4" w:rsidRDefault="009F00F2" w:rsidP="00E875DA">
      <w:r>
        <w:t xml:space="preserve">As demonstrated </w:t>
      </w:r>
      <w:r w:rsidR="0068764D">
        <w:t xml:space="preserve">in </w:t>
      </w:r>
      <w:r w:rsidR="006B312B">
        <w:t xml:space="preserve">Subsection </w:t>
      </w:r>
      <w:r w:rsidR="002839AD">
        <w:t>IX.A.</w:t>
      </w:r>
      <w:r w:rsidR="0025162A">
        <w:t>27</w:t>
      </w:r>
      <w:r w:rsidR="002839AD">
        <w:t>.</w:t>
      </w:r>
      <w:r w:rsidR="0068764D">
        <w:t>b</w:t>
      </w:r>
      <w:r>
        <w:t xml:space="preserve">, </w:t>
      </w:r>
      <w:r w:rsidR="002839AD">
        <w:t xml:space="preserve">the </w:t>
      </w:r>
      <w:r w:rsidR="00521F5E" w:rsidRPr="00521F5E">
        <w:rPr>
          <w:color w:val="00B050"/>
        </w:rPr>
        <w:t>Provo</w:t>
      </w:r>
      <w:r w:rsidR="0068764D" w:rsidRPr="00521F5E">
        <w:rPr>
          <w:color w:val="00B050"/>
        </w:rPr>
        <w:t xml:space="preserve"> NAA</w:t>
      </w:r>
      <w:r w:rsidR="0068764D">
        <w:t xml:space="preserve"> </w:t>
      </w:r>
      <w:r w:rsidR="002839AD">
        <w:t xml:space="preserve">has satisfied </w:t>
      </w:r>
      <w:r w:rsidR="006E6B36">
        <w:t xml:space="preserve">the </w:t>
      </w:r>
      <w:proofErr w:type="spellStart"/>
      <w:r w:rsidR="00A07098">
        <w:t>redesignation</w:t>
      </w:r>
      <w:proofErr w:type="spellEnd"/>
      <w:r w:rsidR="006E6B36">
        <w:t xml:space="preserve"> requirements </w:t>
      </w:r>
      <w:r w:rsidR="00A07098">
        <w:t xml:space="preserve">of Section 107 </w:t>
      </w:r>
      <w:r w:rsidR="006E6B36">
        <w:t>and</w:t>
      </w:r>
      <w:r w:rsidR="002839AD">
        <w:t xml:space="preserve"> is eligible for </w:t>
      </w:r>
      <w:proofErr w:type="spellStart"/>
      <w:r w:rsidR="002839AD">
        <w:t>redesignation</w:t>
      </w:r>
      <w:proofErr w:type="spellEnd"/>
      <w:r w:rsidR="006E6B36">
        <w:t xml:space="preserve"> pending </w:t>
      </w:r>
      <w:r w:rsidR="00144970">
        <w:t xml:space="preserve">the </w:t>
      </w:r>
      <w:r w:rsidR="006E6B36">
        <w:t>EPA</w:t>
      </w:r>
      <w:r w:rsidR="00144970">
        <w:t>’s</w:t>
      </w:r>
      <w:r w:rsidR="006E6B36">
        <w:t xml:space="preserve"> approval of the </w:t>
      </w:r>
      <w:r w:rsidR="0025162A" w:rsidRPr="0025162A">
        <w:rPr>
          <w:color w:val="00B050"/>
        </w:rPr>
        <w:t>Provo</w:t>
      </w:r>
      <w:r w:rsidR="00A07098" w:rsidRPr="0025162A">
        <w:rPr>
          <w:color w:val="00B050"/>
        </w:rPr>
        <w:t xml:space="preserve"> NAA</w:t>
      </w:r>
      <w:r w:rsidR="00A07098">
        <w:t xml:space="preserve"> M</w:t>
      </w:r>
      <w:r w:rsidR="006E6B36">
        <w:t xml:space="preserve">aintenance </w:t>
      </w:r>
      <w:r w:rsidR="00A07098">
        <w:t>P</w:t>
      </w:r>
      <w:r w:rsidR="006E6B36">
        <w:t xml:space="preserve">lan. The </w:t>
      </w:r>
      <w:r w:rsidR="00A07098">
        <w:t>m</w:t>
      </w:r>
      <w:r w:rsidR="006E6B36">
        <w:t xml:space="preserve">aintenance plan is included in </w:t>
      </w:r>
      <w:r w:rsidR="006B312B">
        <w:t xml:space="preserve">Subsection </w:t>
      </w:r>
      <w:r w:rsidR="006E6B36">
        <w:t>IX.A.</w:t>
      </w:r>
      <w:r w:rsidR="0025162A">
        <w:t>27</w:t>
      </w:r>
      <w:r w:rsidR="006E6B36">
        <w:t>.</w:t>
      </w:r>
      <w:r w:rsidR="00A07098">
        <w:t>c</w:t>
      </w:r>
      <w:r w:rsidR="006E6B36">
        <w:t xml:space="preserve"> </w:t>
      </w:r>
      <w:r w:rsidR="00A07098">
        <w:t xml:space="preserve">and was written in compliance with Section 175A of the Act. The maintenance plan </w:t>
      </w:r>
      <w:r w:rsidR="006E6B36">
        <w:t xml:space="preserve">demonstrates </w:t>
      </w:r>
      <w:r w:rsidR="006E6B36" w:rsidRPr="00EF2C3F">
        <w:t>that the</w:t>
      </w:r>
      <w:r w:rsidR="006E6B36">
        <w:t xml:space="preserve"> </w:t>
      </w:r>
      <w:r w:rsidR="0025162A" w:rsidRPr="0025162A">
        <w:rPr>
          <w:color w:val="00B050"/>
        </w:rPr>
        <w:t>Provo</w:t>
      </w:r>
      <w:r w:rsidR="006E6B36" w:rsidRPr="0025162A">
        <w:rPr>
          <w:color w:val="00B050"/>
        </w:rPr>
        <w:t xml:space="preserve"> NAA</w:t>
      </w:r>
      <w:r w:rsidR="006E6B36">
        <w:t xml:space="preserve"> </w:t>
      </w:r>
      <w:r w:rsidR="006E6B36" w:rsidRPr="00EF2C3F">
        <w:t>will continue to maintain t</w:t>
      </w:r>
      <w:r w:rsidR="00665E27">
        <w:t>he 24-hr PM</w:t>
      </w:r>
      <w:r w:rsidR="00665E27" w:rsidRPr="00665E27">
        <w:rPr>
          <w:vertAlign w:val="subscript"/>
        </w:rPr>
        <w:t>2.5</w:t>
      </w:r>
      <w:r w:rsidR="00665E27" w:rsidRPr="00665E27">
        <w:t xml:space="preserve"> </w:t>
      </w:r>
      <w:r w:rsidR="00665E27">
        <w:t>NAAQS</w:t>
      </w:r>
      <w:r w:rsidR="006E6B36" w:rsidRPr="00EF2C3F">
        <w:t xml:space="preserve"> </w:t>
      </w:r>
      <w:r w:rsidR="00340C73">
        <w:t xml:space="preserve">through </w:t>
      </w:r>
      <w:r w:rsidR="006E6B36">
        <w:t xml:space="preserve">at least </w:t>
      </w:r>
      <w:r w:rsidR="006E6B36" w:rsidRPr="00EF2C3F">
        <w:t>the year 2035.</w:t>
      </w:r>
      <w:r w:rsidR="006E6B36">
        <w:t xml:space="preserve"> </w:t>
      </w:r>
      <w:r w:rsidR="00A07098">
        <w:t>The maintenance plan</w:t>
      </w:r>
      <w:r w:rsidR="006E6B36">
        <w:t xml:space="preserve"> also includes contingency </w:t>
      </w:r>
      <w:r w:rsidR="00F57FE4">
        <w:t xml:space="preserve">measures </w:t>
      </w:r>
      <w:r w:rsidR="006E6B36">
        <w:t xml:space="preserve">to assure that the State will promptly correct any violation of the standard that may occur after </w:t>
      </w:r>
      <w:proofErr w:type="spellStart"/>
      <w:r w:rsidR="006E6B36">
        <w:t>redesignation</w:t>
      </w:r>
      <w:proofErr w:type="spellEnd"/>
      <w:r w:rsidR="006E6B36">
        <w:t>.</w:t>
      </w:r>
      <w:r w:rsidR="005B739B">
        <w:t xml:space="preserve"> </w:t>
      </w:r>
      <w:r w:rsidR="00144970">
        <w:t xml:space="preserve">Upon the EPA’s approval of the maintenance plan, the State </w:t>
      </w:r>
      <w:r w:rsidR="001C17DF">
        <w:t xml:space="preserve">is requesting that </w:t>
      </w:r>
      <w:r w:rsidR="005B739B">
        <w:t xml:space="preserve">the </w:t>
      </w:r>
      <w:r w:rsidR="00291C32" w:rsidRPr="00291C32">
        <w:rPr>
          <w:color w:val="00B050"/>
        </w:rPr>
        <w:t>Provo</w:t>
      </w:r>
      <w:r w:rsidR="005B739B" w:rsidRPr="00291C32">
        <w:rPr>
          <w:color w:val="00B050"/>
        </w:rPr>
        <w:t xml:space="preserve"> NAA</w:t>
      </w:r>
      <w:r w:rsidR="005B739B">
        <w:t xml:space="preserve"> be </w:t>
      </w:r>
      <w:proofErr w:type="spellStart"/>
      <w:r w:rsidR="005B739B">
        <w:t>redesignated</w:t>
      </w:r>
      <w:proofErr w:type="spellEnd"/>
      <w:r w:rsidR="005B739B">
        <w:t xml:space="preserve"> to attainment for the 2006 </w:t>
      </w:r>
      <w:r w:rsidR="005B739B" w:rsidRPr="00EF2C3F">
        <w:t>PM</w:t>
      </w:r>
      <w:r w:rsidR="005B739B" w:rsidRPr="00EF2C3F">
        <w:rPr>
          <w:vertAlign w:val="subscript"/>
        </w:rPr>
        <w:t>2.5</w:t>
      </w:r>
      <w:r w:rsidR="005B739B" w:rsidRPr="00EF2C3F">
        <w:t xml:space="preserve"> </w:t>
      </w:r>
      <w:r w:rsidR="005B739B">
        <w:t>24-hour NAAQS</w:t>
      </w:r>
      <w:r w:rsidR="00144970">
        <w:t>.</w:t>
      </w:r>
      <w:r w:rsidR="00C954CB">
        <w:rPr>
          <w:rStyle w:val="FootnoteReference"/>
        </w:rPr>
        <w:footnoteReference w:id="1"/>
      </w:r>
    </w:p>
    <w:p w14:paraId="0E6EA59F" w14:textId="77777777" w:rsidR="00904048" w:rsidRDefault="00904048" w:rsidP="00396327">
      <w:pPr>
        <w:pStyle w:val="Heading2"/>
      </w:pPr>
      <w:bookmarkStart w:id="1" w:name="_Toc17201183"/>
      <w:r>
        <w:t>Background</w:t>
      </w:r>
      <w:bookmarkEnd w:id="1"/>
    </w:p>
    <w:p w14:paraId="45D48CC5" w14:textId="63282817" w:rsidR="001405BF" w:rsidRPr="006D089C" w:rsidRDefault="00BD6306" w:rsidP="00E875DA">
      <w:r w:rsidRPr="00EF2C3F">
        <w:t>In October</w:t>
      </w:r>
      <w:r w:rsidR="00050E1C" w:rsidRPr="00EF2C3F">
        <w:t xml:space="preserve"> of 2006, EPA revised the </w:t>
      </w:r>
      <w:r w:rsidR="00471B99">
        <w:t>1997</w:t>
      </w:r>
      <w:r w:rsidR="00050E1C" w:rsidRPr="00EF2C3F">
        <w:t xml:space="preserve"> </w:t>
      </w:r>
      <w:r w:rsidR="00471B99">
        <w:t>NAAQS</w:t>
      </w:r>
      <w:r w:rsidR="00471B99" w:rsidRPr="00EF2C3F">
        <w:t xml:space="preserve"> </w:t>
      </w:r>
      <w:r w:rsidR="00050E1C" w:rsidRPr="00EF2C3F">
        <w:t xml:space="preserve">for </w:t>
      </w:r>
      <w:r w:rsidR="001405BF" w:rsidRPr="00EF2C3F">
        <w:t>PM</w:t>
      </w:r>
      <w:r w:rsidR="001405BF" w:rsidRPr="00EF2C3F">
        <w:rPr>
          <w:vertAlign w:val="subscript"/>
        </w:rPr>
        <w:t>2.5</w:t>
      </w:r>
      <w:r w:rsidR="00050E1C" w:rsidRPr="00EF2C3F">
        <w:t xml:space="preserve">. While the annual standard remained unchanged at 15 </w:t>
      </w:r>
      <w:r w:rsidR="0016479E">
        <w:t>µ</w:t>
      </w:r>
      <w:r w:rsidR="0016479E" w:rsidRPr="00EF2C3F">
        <w:t xml:space="preserve">g </w:t>
      </w:r>
      <w:r w:rsidR="00050E1C" w:rsidRPr="00EF2C3F">
        <w:t>/m</w:t>
      </w:r>
      <w:r w:rsidR="00050E1C" w:rsidRPr="00EF2C3F">
        <w:rPr>
          <w:vertAlign w:val="superscript"/>
        </w:rPr>
        <w:t>3</w:t>
      </w:r>
      <w:r w:rsidR="00246704">
        <w:rPr>
          <w:vertAlign w:val="superscript"/>
        </w:rPr>
        <w:t xml:space="preserve"> </w:t>
      </w:r>
      <w:r w:rsidR="00246704">
        <w:t>until 2012</w:t>
      </w:r>
      <w:r w:rsidR="00050E1C" w:rsidRPr="00EF2C3F">
        <w:t xml:space="preserve">, the 24-hr standard was lowered from 65 </w:t>
      </w:r>
      <w:r w:rsidR="0016479E">
        <w:t>µ</w:t>
      </w:r>
      <w:r w:rsidR="0016479E" w:rsidRPr="00EF2C3F">
        <w:t xml:space="preserve">g </w:t>
      </w:r>
      <w:r w:rsidR="00050E1C" w:rsidRPr="00EF2C3F">
        <w:t>/m</w:t>
      </w:r>
      <w:r w:rsidR="00050E1C" w:rsidRPr="001131AB">
        <w:rPr>
          <w:vertAlign w:val="superscript"/>
        </w:rPr>
        <w:t>3</w:t>
      </w:r>
      <w:r w:rsidR="00050E1C" w:rsidRPr="00EF2C3F">
        <w:t xml:space="preserve"> to 35 </w:t>
      </w:r>
      <w:r w:rsidR="0016479E">
        <w:t>µ</w:t>
      </w:r>
      <w:r w:rsidR="0016479E" w:rsidRPr="00EF2C3F">
        <w:t xml:space="preserve">g </w:t>
      </w:r>
      <w:r w:rsidR="00050E1C" w:rsidRPr="00EF2C3F">
        <w:t>/m</w:t>
      </w:r>
      <w:r w:rsidR="00050E1C" w:rsidRPr="001131AB">
        <w:rPr>
          <w:vertAlign w:val="superscript"/>
        </w:rPr>
        <w:t>3</w:t>
      </w:r>
      <w:r w:rsidR="00050E1C" w:rsidRPr="00EF2C3F">
        <w:t xml:space="preserve">. </w:t>
      </w:r>
      <w:r w:rsidR="00471B99">
        <w:t>The Utah Division of Air Quality (</w:t>
      </w:r>
      <w:r w:rsidR="002A3A57">
        <w:t>U</w:t>
      </w:r>
      <w:r w:rsidR="001405BF" w:rsidRPr="00EF2C3F">
        <w:t>DAQ</w:t>
      </w:r>
      <w:r w:rsidR="00471B99">
        <w:t>)</w:t>
      </w:r>
      <w:r w:rsidR="001405BF" w:rsidRPr="00EF2C3F">
        <w:t xml:space="preserve"> has monitored PM</w:t>
      </w:r>
      <w:r w:rsidR="001405BF" w:rsidRPr="00EF2C3F">
        <w:rPr>
          <w:vertAlign w:val="subscript"/>
        </w:rPr>
        <w:t>2.5</w:t>
      </w:r>
      <w:r w:rsidR="001405BF" w:rsidRPr="00EF2C3F">
        <w:t xml:space="preserve"> since 2000 and found that all areas have </w:t>
      </w:r>
      <w:r w:rsidR="00356561">
        <w:t>complied</w:t>
      </w:r>
      <w:r w:rsidR="001405BF" w:rsidRPr="00EF2C3F">
        <w:t xml:space="preserve"> </w:t>
      </w:r>
      <w:r w:rsidR="006A3F92">
        <w:t xml:space="preserve">with the 1997 standards. </w:t>
      </w:r>
      <w:r w:rsidR="00253D14">
        <w:t xml:space="preserve">Since </w:t>
      </w:r>
      <w:r w:rsidR="006A3F92">
        <w:t>the</w:t>
      </w:r>
      <w:r w:rsidR="002A3A57">
        <w:t xml:space="preserve"> </w:t>
      </w:r>
      <w:r w:rsidR="00E85D82">
        <w:t xml:space="preserve">promulgation of the </w:t>
      </w:r>
      <w:r w:rsidR="001405BF" w:rsidRPr="00EF2C3F">
        <w:t xml:space="preserve">2006 </w:t>
      </w:r>
      <w:r w:rsidR="006A3F92">
        <w:t>standard</w:t>
      </w:r>
      <w:r w:rsidR="00DD0C87" w:rsidRPr="00EF2C3F">
        <w:t>, all or parts of seven</w:t>
      </w:r>
      <w:r w:rsidR="001405BF" w:rsidRPr="00EF2C3F">
        <w:t xml:space="preserve"> </w:t>
      </w:r>
      <w:r w:rsidR="006A3F92">
        <w:t xml:space="preserve">Utah counties </w:t>
      </w:r>
      <w:r w:rsidR="00253D14">
        <w:t xml:space="preserve">have </w:t>
      </w:r>
      <w:r w:rsidR="006A3F92">
        <w:t>recorded</w:t>
      </w:r>
      <w:r w:rsidR="00E85D82">
        <w:t xml:space="preserve"> monitoring data that was</w:t>
      </w:r>
      <w:r w:rsidR="001405BF" w:rsidRPr="00EF2C3F">
        <w:t xml:space="preserve"> not in compliance with the </w:t>
      </w:r>
      <w:r w:rsidR="00471B99">
        <w:t xml:space="preserve">new </w:t>
      </w:r>
      <w:r w:rsidR="001405BF" w:rsidRPr="00EF2C3F">
        <w:t xml:space="preserve">24-hr standard. </w:t>
      </w:r>
      <w:r w:rsidR="006D089C">
        <w:t xml:space="preserve">In 2012, EPA lowered the annual standard to </w:t>
      </w:r>
      <w:r w:rsidR="006D089C" w:rsidRPr="00EF2C3F">
        <w:t>1</w:t>
      </w:r>
      <w:r w:rsidR="006D089C">
        <w:t>2</w:t>
      </w:r>
      <w:r w:rsidR="006D089C" w:rsidRPr="00EF2C3F">
        <w:t xml:space="preserve"> </w:t>
      </w:r>
      <w:r w:rsidR="006D089C">
        <w:t>µ</w:t>
      </w:r>
      <w:r w:rsidR="006D089C" w:rsidRPr="00EF2C3F">
        <w:t>g /m</w:t>
      </w:r>
      <w:r w:rsidR="006D089C" w:rsidRPr="00EF2C3F">
        <w:rPr>
          <w:vertAlign w:val="superscript"/>
        </w:rPr>
        <w:t>3</w:t>
      </w:r>
      <w:r w:rsidR="006D089C">
        <w:t>, and all areas of the state meet this new standard.</w:t>
      </w:r>
    </w:p>
    <w:p w14:paraId="744C53CF" w14:textId="3760DD8F" w:rsidR="00C15686" w:rsidRDefault="00FE3077" w:rsidP="009E6213">
      <w:r>
        <w:t xml:space="preserve">On November 13, 2009, </w:t>
      </w:r>
      <w:r w:rsidR="00471B99">
        <w:t xml:space="preserve">EPA designated the </w:t>
      </w:r>
      <w:r w:rsidR="00F45E9F" w:rsidRPr="00F45E9F">
        <w:rPr>
          <w:rFonts w:cs="Times New Roman"/>
          <w:color w:val="00B050"/>
        </w:rPr>
        <w:t>Provo</w:t>
      </w:r>
      <w:r w:rsidR="001D76E1" w:rsidRPr="00F45E9F">
        <w:rPr>
          <w:rFonts w:cs="Times New Roman"/>
          <w:color w:val="00B050"/>
        </w:rPr>
        <w:t xml:space="preserve"> NAA</w:t>
      </w:r>
      <w:r w:rsidR="00212BB9" w:rsidRPr="00EF2C3F">
        <w:t xml:space="preserve"> </w:t>
      </w:r>
      <w:r>
        <w:t>as</w:t>
      </w:r>
      <w:r w:rsidR="00E85D82">
        <w:t xml:space="preserve"> nonattainment </w:t>
      </w:r>
      <w:r>
        <w:t>for the 2006 24-hour</w:t>
      </w:r>
      <w:r w:rsidRPr="00EF2C3F">
        <w:t xml:space="preserve"> PM</w:t>
      </w:r>
      <w:r w:rsidRPr="00EF2C3F">
        <w:rPr>
          <w:vertAlign w:val="subscript"/>
        </w:rPr>
        <w:t>2.5</w:t>
      </w:r>
      <w:r w:rsidRPr="00EF2C3F">
        <w:t xml:space="preserve"> </w:t>
      </w:r>
      <w:r>
        <w:t>NAAQS</w:t>
      </w:r>
      <w:r w:rsidR="0026249F">
        <w:t xml:space="preserve"> under the Act’s general provisions for nonattainment areas. On January 4, 2013, the </w:t>
      </w:r>
      <w:r w:rsidR="00DF0439" w:rsidRPr="00EF2C3F">
        <w:t xml:space="preserve">D.C. Circuit </w:t>
      </w:r>
      <w:r w:rsidR="00C77E79">
        <w:t xml:space="preserve">Court of Appeals </w:t>
      </w:r>
      <w:r w:rsidR="0026249F">
        <w:t>issued a</w:t>
      </w:r>
      <w:r w:rsidR="0026249F" w:rsidRPr="00EF2C3F">
        <w:t xml:space="preserve"> </w:t>
      </w:r>
      <w:r w:rsidR="00DF0439" w:rsidRPr="00EF2C3F">
        <w:t>decision</w:t>
      </w:r>
      <w:r w:rsidR="0026249F">
        <w:t xml:space="preserve"> holding that the </w:t>
      </w:r>
      <w:r w:rsidR="00356561">
        <w:t xml:space="preserve">specific </w:t>
      </w:r>
      <w:r w:rsidR="0026249F">
        <w:t xml:space="preserve">provisions </w:t>
      </w:r>
      <w:r w:rsidR="00356561">
        <w:t>for PM</w:t>
      </w:r>
      <w:r w:rsidR="00356561" w:rsidRPr="00356561">
        <w:rPr>
          <w:vertAlign w:val="subscript"/>
        </w:rPr>
        <w:t>10</w:t>
      </w:r>
      <w:r w:rsidR="00356561">
        <w:rPr>
          <w:vertAlign w:val="subscript"/>
        </w:rPr>
        <w:t xml:space="preserve"> </w:t>
      </w:r>
      <w:r w:rsidR="00356561" w:rsidRPr="00E7741F">
        <w:t>nonattainment areas</w:t>
      </w:r>
      <w:r w:rsidR="00356561">
        <w:t xml:space="preserve">, which are found in </w:t>
      </w:r>
      <w:r w:rsidR="00253D14">
        <w:t>Part D, Subpart 4 of the Act</w:t>
      </w:r>
      <w:r w:rsidR="00356561">
        <w:t xml:space="preserve">, also </w:t>
      </w:r>
      <w:r w:rsidR="00752449">
        <w:t>apply</w:t>
      </w:r>
      <w:r w:rsidR="00356561">
        <w:t xml:space="preserve"> to </w:t>
      </w:r>
      <w:r w:rsidR="00C77E79" w:rsidRPr="00EF2C3F">
        <w:t>PM</w:t>
      </w:r>
      <w:r w:rsidR="00C77E79" w:rsidRPr="00EF2C3F">
        <w:rPr>
          <w:vertAlign w:val="subscript"/>
        </w:rPr>
        <w:t>2.5</w:t>
      </w:r>
      <w:r w:rsidR="00C77E79" w:rsidRPr="00EF2C3F">
        <w:t xml:space="preserve"> </w:t>
      </w:r>
      <w:r w:rsidR="00C77E79">
        <w:t>nonattainment</w:t>
      </w:r>
      <w:r w:rsidR="00356561">
        <w:t xml:space="preserve"> areas. </w:t>
      </w:r>
      <w:r w:rsidR="0026249F">
        <w:t xml:space="preserve">These provisions require </w:t>
      </w:r>
      <w:r w:rsidR="00253D14">
        <w:t xml:space="preserve">EPA to </w:t>
      </w:r>
      <w:r w:rsidR="00752449">
        <w:t>classify</w:t>
      </w:r>
      <w:r w:rsidR="0026249F">
        <w:t xml:space="preserve"> </w:t>
      </w:r>
      <w:r w:rsidR="00752449">
        <w:t xml:space="preserve">a </w:t>
      </w:r>
      <w:r w:rsidR="0026249F">
        <w:t>PM nonattainment area</w:t>
      </w:r>
      <w:r w:rsidR="00752449">
        <w:t xml:space="preserve"> as “moderate” at the time it is designated </w:t>
      </w:r>
      <w:r w:rsidR="00CB641A">
        <w:t>nonattainment</w:t>
      </w:r>
      <w:r w:rsidR="00752449">
        <w:t xml:space="preserve">. If the area cannot attain the NAAQS by the attainment date, then EPA is required to reclassify the area as “serious.” </w:t>
      </w:r>
      <w:r w:rsidR="0026249F">
        <w:t>On June 2, 2014,</w:t>
      </w:r>
      <w:r w:rsidR="00E85D82">
        <w:t xml:space="preserve"> </w:t>
      </w:r>
      <w:r w:rsidR="00C15686">
        <w:t xml:space="preserve">the </w:t>
      </w:r>
      <w:r w:rsidR="00DF0439" w:rsidRPr="00EF2C3F">
        <w:t xml:space="preserve">EPA </w:t>
      </w:r>
      <w:r w:rsidR="00BD6306" w:rsidRPr="00EF2C3F">
        <w:t xml:space="preserve">classified the </w:t>
      </w:r>
      <w:r w:rsidR="00F45E9F" w:rsidRPr="00F45E9F">
        <w:rPr>
          <w:rFonts w:cs="Times New Roman"/>
          <w:color w:val="00B050"/>
        </w:rPr>
        <w:t>Provo</w:t>
      </w:r>
      <w:r w:rsidR="001D76E1" w:rsidRPr="00F45E9F">
        <w:rPr>
          <w:rFonts w:cs="Times New Roman"/>
          <w:color w:val="00B050"/>
        </w:rPr>
        <w:t xml:space="preserve"> NAA</w:t>
      </w:r>
      <w:r w:rsidR="00BD6306" w:rsidRPr="00EF2C3F">
        <w:t xml:space="preserve"> as </w:t>
      </w:r>
      <w:r w:rsidR="0026249F">
        <w:t xml:space="preserve">a </w:t>
      </w:r>
      <w:r w:rsidR="00BD351F">
        <w:t>m</w:t>
      </w:r>
      <w:r w:rsidR="00BD6306" w:rsidRPr="00E85D82">
        <w:t xml:space="preserve">oderate </w:t>
      </w:r>
      <w:r w:rsidR="00C15686">
        <w:t>n</w:t>
      </w:r>
      <w:r w:rsidR="0026249F" w:rsidRPr="00EF2C3F">
        <w:t xml:space="preserve">onattainment </w:t>
      </w:r>
      <w:r w:rsidR="00C15686">
        <w:t>a</w:t>
      </w:r>
      <w:r w:rsidR="0026249F">
        <w:t>rea</w:t>
      </w:r>
      <w:r w:rsidR="00DF0439" w:rsidRPr="00EF2C3F">
        <w:t xml:space="preserve"> with an attainment </w:t>
      </w:r>
      <w:r w:rsidR="00BD6306" w:rsidRPr="00EF2C3F">
        <w:t>date of December 31, 2015.</w:t>
      </w:r>
      <w:r w:rsidR="008B7BE7" w:rsidRPr="00EF2C3F">
        <w:t xml:space="preserve"> </w:t>
      </w:r>
    </w:p>
    <w:p w14:paraId="2F38145A" w14:textId="6F8499DC" w:rsidR="009E6213" w:rsidRPr="00F8549B" w:rsidRDefault="00725F77" w:rsidP="009E6213">
      <w:pPr>
        <w:rPr>
          <w:rFonts w:cs="Times New Roman"/>
          <w:color w:val="00B050"/>
        </w:rPr>
      </w:pPr>
      <w:r w:rsidRPr="00EF2C3F">
        <w:t>The Act requires areas failing to meet the federal ambient PM</w:t>
      </w:r>
      <w:r w:rsidRPr="00EF2C3F">
        <w:rPr>
          <w:vertAlign w:val="subscript"/>
        </w:rPr>
        <w:t>2.5</w:t>
      </w:r>
      <w:r w:rsidRPr="00EF2C3F">
        <w:t xml:space="preserve"> standard to devel</w:t>
      </w:r>
      <w:r w:rsidR="00611537">
        <w:t>op a SIP</w:t>
      </w:r>
      <w:r w:rsidRPr="00EF2C3F">
        <w:t xml:space="preserve"> with sufficient control requirements to expeditiously attain and maintain the standard.</w:t>
      </w:r>
      <w:r w:rsidR="002E3034">
        <w:t xml:space="preserve"> </w:t>
      </w:r>
      <w:r w:rsidR="002E3034" w:rsidRPr="00F8549B">
        <w:rPr>
          <w:rFonts w:cs="Times New Roman"/>
          <w:color w:val="00B050"/>
        </w:rPr>
        <w:t xml:space="preserve">On December 22, 2014, </w:t>
      </w:r>
      <w:r w:rsidR="00C77E79" w:rsidRPr="00F8549B">
        <w:rPr>
          <w:rFonts w:cs="Times New Roman"/>
          <w:color w:val="00B050"/>
        </w:rPr>
        <w:t xml:space="preserve">UDAQ </w:t>
      </w:r>
      <w:r w:rsidR="002E3034" w:rsidRPr="00F8549B">
        <w:rPr>
          <w:rFonts w:cs="Times New Roman"/>
          <w:color w:val="00B050"/>
        </w:rPr>
        <w:t xml:space="preserve">submitted a moderate area </w:t>
      </w:r>
      <w:r w:rsidR="009E6213" w:rsidRPr="00F8549B">
        <w:rPr>
          <w:rFonts w:cs="Times New Roman"/>
          <w:color w:val="00B050"/>
        </w:rPr>
        <w:t>nonattainment SIP</w:t>
      </w:r>
      <w:r w:rsidR="002E3034" w:rsidRPr="00F8549B">
        <w:rPr>
          <w:rFonts w:cs="Times New Roman"/>
          <w:color w:val="00B050"/>
        </w:rPr>
        <w:t xml:space="preserve"> for the </w:t>
      </w:r>
      <w:r w:rsidR="00BD162C" w:rsidRPr="00F8549B">
        <w:rPr>
          <w:rFonts w:cs="Times New Roman"/>
          <w:color w:val="00B050"/>
        </w:rPr>
        <w:t>Provo</w:t>
      </w:r>
      <w:r w:rsidR="002E3034" w:rsidRPr="00F8549B">
        <w:rPr>
          <w:rFonts w:cs="Times New Roman"/>
          <w:color w:val="00B050"/>
        </w:rPr>
        <w:t xml:space="preserve"> NAA.</w:t>
      </w:r>
      <w:r w:rsidR="005A6037" w:rsidRPr="00F8549B">
        <w:rPr>
          <w:rStyle w:val="FootnoteReference"/>
          <w:rFonts w:cs="Times New Roman"/>
          <w:color w:val="00B050"/>
        </w:rPr>
        <w:footnoteReference w:id="2"/>
      </w:r>
      <w:r w:rsidR="00C77E79" w:rsidRPr="00F8549B">
        <w:rPr>
          <w:rFonts w:cs="Times New Roman"/>
          <w:color w:val="00B050"/>
        </w:rPr>
        <w:t xml:space="preserve"> </w:t>
      </w:r>
      <w:r w:rsidR="009E6213" w:rsidRPr="00F8549B">
        <w:rPr>
          <w:rFonts w:cs="Times New Roman"/>
          <w:color w:val="00B050"/>
        </w:rPr>
        <w:t xml:space="preserve"> The modeled attainment demonstration underlying the </w:t>
      </w:r>
      <w:r w:rsidR="00BD351F">
        <w:rPr>
          <w:rFonts w:cs="Times New Roman"/>
          <w:color w:val="00B050"/>
        </w:rPr>
        <w:t>m</w:t>
      </w:r>
      <w:r w:rsidR="009E6213" w:rsidRPr="00F8549B">
        <w:rPr>
          <w:rFonts w:cs="Times New Roman"/>
          <w:color w:val="00B050"/>
        </w:rPr>
        <w:t>oderate SIP assessed the likelihood of attainment by the applicable attainment date of December 31, 2015 and concluded that it would be impracticable to do so.</w:t>
      </w:r>
    </w:p>
    <w:p w14:paraId="157186C2" w14:textId="5313D116" w:rsidR="009E6213" w:rsidRPr="00F8549B" w:rsidRDefault="009E6213" w:rsidP="009E6213">
      <w:pPr>
        <w:rPr>
          <w:rFonts w:cs="Times New Roman"/>
          <w:color w:val="00B050"/>
        </w:rPr>
      </w:pPr>
      <w:r w:rsidRPr="00F8549B">
        <w:rPr>
          <w:rFonts w:cs="Times New Roman"/>
          <w:color w:val="00B050"/>
        </w:rPr>
        <w:t xml:space="preserve">After reaching the statutory attainment date, the EPA was compelled to determine whether the area had or had not achieved compliance with the standard by evaluating the prior three years of quality assured data. </w:t>
      </w:r>
      <w:r w:rsidR="002E3034" w:rsidRPr="00F8549B">
        <w:rPr>
          <w:rFonts w:cs="Times New Roman"/>
          <w:color w:val="00B050"/>
        </w:rPr>
        <w:t xml:space="preserve">On May 10, 2017, EPA determined that the </w:t>
      </w:r>
      <w:r w:rsidR="00D75D0D" w:rsidRPr="00F8549B">
        <w:rPr>
          <w:rFonts w:cs="Times New Roman"/>
          <w:color w:val="00B050"/>
        </w:rPr>
        <w:t>Provo</w:t>
      </w:r>
      <w:r w:rsidR="002E3034" w:rsidRPr="00F8549B">
        <w:rPr>
          <w:rFonts w:cs="Times New Roman"/>
          <w:color w:val="00B050"/>
        </w:rPr>
        <w:t xml:space="preserve"> NAA did not reach attainment of the 2006 24-hour standard by the attainment date </w:t>
      </w:r>
      <w:r w:rsidRPr="00F8549B">
        <w:rPr>
          <w:rFonts w:cs="Times New Roman"/>
          <w:color w:val="00B050"/>
        </w:rPr>
        <w:t>(89 FR 21711)</w:t>
      </w:r>
      <w:r w:rsidR="002E3034" w:rsidRPr="00F8549B">
        <w:rPr>
          <w:rFonts w:cs="Times New Roman"/>
          <w:color w:val="00B050"/>
        </w:rPr>
        <w:t>.</w:t>
      </w:r>
      <w:r w:rsidRPr="00F8549B">
        <w:rPr>
          <w:rFonts w:cs="Times New Roman"/>
          <w:color w:val="00B050"/>
        </w:rPr>
        <w:t xml:space="preserve"> </w:t>
      </w:r>
      <w:r w:rsidR="002E3034" w:rsidRPr="00F8549B">
        <w:rPr>
          <w:rFonts w:cs="Times New Roman"/>
          <w:color w:val="00B050"/>
        </w:rPr>
        <w:t>EPA subsequently reclassified the</w:t>
      </w:r>
      <w:r w:rsidRPr="00F8549B">
        <w:rPr>
          <w:rFonts w:cs="Times New Roman"/>
          <w:color w:val="00B050"/>
        </w:rPr>
        <w:t xml:space="preserve"> </w:t>
      </w:r>
      <w:r w:rsidR="00D75D0D" w:rsidRPr="00F8549B">
        <w:rPr>
          <w:rFonts w:cs="Times New Roman"/>
          <w:color w:val="00B050"/>
        </w:rPr>
        <w:t>Provo</w:t>
      </w:r>
      <w:r w:rsidRPr="00F8549B">
        <w:rPr>
          <w:rFonts w:cs="Times New Roman"/>
          <w:color w:val="00B050"/>
        </w:rPr>
        <w:t xml:space="preserve"> NAA from a </w:t>
      </w:r>
      <w:r w:rsidR="00BD351F">
        <w:rPr>
          <w:rFonts w:cs="Times New Roman"/>
          <w:color w:val="00B050"/>
        </w:rPr>
        <w:t>m</w:t>
      </w:r>
      <w:r w:rsidRPr="00F8549B">
        <w:rPr>
          <w:rFonts w:cs="Times New Roman"/>
          <w:color w:val="00B050"/>
        </w:rPr>
        <w:t>oderate PM</w:t>
      </w:r>
      <w:r w:rsidR="00212648">
        <w:rPr>
          <w:rFonts w:cs="Times New Roman"/>
          <w:color w:val="00B050"/>
          <w:vertAlign w:val="subscript"/>
        </w:rPr>
        <w:t>2.5</w:t>
      </w:r>
      <w:r w:rsidRPr="00F8549B">
        <w:rPr>
          <w:rFonts w:cs="Times New Roman"/>
          <w:color w:val="00B050"/>
          <w:sz w:val="14"/>
          <w:szCs w:val="14"/>
        </w:rPr>
        <w:t xml:space="preserve"> </w:t>
      </w:r>
      <w:r w:rsidRPr="00F8549B">
        <w:rPr>
          <w:rFonts w:cs="Times New Roman"/>
          <w:color w:val="00B050"/>
        </w:rPr>
        <w:t xml:space="preserve">nonattainment area to a </w:t>
      </w:r>
      <w:r w:rsidR="004739ED">
        <w:rPr>
          <w:rFonts w:cs="Times New Roman"/>
          <w:color w:val="00B050"/>
        </w:rPr>
        <w:t>s</w:t>
      </w:r>
      <w:r w:rsidRPr="00F8549B">
        <w:rPr>
          <w:rFonts w:cs="Times New Roman"/>
          <w:color w:val="00B050"/>
        </w:rPr>
        <w:t>erious PM</w:t>
      </w:r>
      <w:r w:rsidR="00212648">
        <w:rPr>
          <w:rFonts w:cs="Times New Roman"/>
          <w:color w:val="00B050"/>
          <w:vertAlign w:val="subscript"/>
        </w:rPr>
        <w:t>2.5</w:t>
      </w:r>
      <w:r w:rsidRPr="00F8549B">
        <w:rPr>
          <w:rFonts w:cs="Times New Roman"/>
          <w:color w:val="00B050"/>
        </w:rPr>
        <w:t xml:space="preserve"> nonattainment area on June 9, 2017.</w:t>
      </w:r>
    </w:p>
    <w:p w14:paraId="5371F3A5" w14:textId="0B6FFC9D" w:rsidR="00D75D0D" w:rsidRPr="00D75D0D" w:rsidRDefault="009E6213" w:rsidP="00D75D0D">
      <w:pPr>
        <w:rPr>
          <w:rFonts w:cs="Times New Roman"/>
          <w:color w:val="00B050"/>
        </w:rPr>
      </w:pPr>
      <w:r w:rsidRPr="00F8549B">
        <w:rPr>
          <w:rFonts w:cs="Times New Roman"/>
          <w:color w:val="00B050"/>
        </w:rPr>
        <w:t xml:space="preserve">Under </w:t>
      </w:r>
      <w:r w:rsidR="002C5DCE" w:rsidRPr="00F8549B">
        <w:rPr>
          <w:rFonts w:cs="Times New Roman"/>
          <w:color w:val="00B050"/>
        </w:rPr>
        <w:t xml:space="preserve">Subpart </w:t>
      </w:r>
      <w:r w:rsidRPr="00F8549B">
        <w:rPr>
          <w:rFonts w:cs="Times New Roman"/>
          <w:color w:val="00B050"/>
        </w:rPr>
        <w:t xml:space="preserve">4 of the Act, </w:t>
      </w:r>
      <w:r w:rsidR="004739ED">
        <w:rPr>
          <w:rFonts w:cs="Times New Roman"/>
          <w:color w:val="00B050"/>
        </w:rPr>
        <w:t>s</w:t>
      </w:r>
      <w:r w:rsidRPr="00F8549B">
        <w:rPr>
          <w:rFonts w:cs="Times New Roman"/>
          <w:color w:val="00B050"/>
        </w:rPr>
        <w:t xml:space="preserve">erious PM nonattainment areas require, in addition to the provisions submitted to meet the </w:t>
      </w:r>
      <w:r w:rsidR="00BD351F">
        <w:rPr>
          <w:rFonts w:cs="Times New Roman"/>
          <w:color w:val="00B050"/>
        </w:rPr>
        <w:t>m</w:t>
      </w:r>
      <w:r w:rsidRPr="00F8549B">
        <w:rPr>
          <w:rFonts w:cs="Times New Roman"/>
          <w:color w:val="00B050"/>
        </w:rPr>
        <w:t xml:space="preserve">oderate area planning requirements, the submittal of a SIP revision that: 1)  provides for attainment of the applicable NAAQS no later than the end of the </w:t>
      </w:r>
      <w:r w:rsidR="00C15686" w:rsidRPr="00F8549B">
        <w:rPr>
          <w:rFonts w:cs="Times New Roman"/>
          <w:color w:val="00B050"/>
        </w:rPr>
        <w:t>10</w:t>
      </w:r>
      <w:r w:rsidR="00C15686" w:rsidRPr="00F8549B">
        <w:rPr>
          <w:rFonts w:cs="Times New Roman"/>
          <w:color w:val="00B050"/>
          <w:vertAlign w:val="superscript"/>
        </w:rPr>
        <w:t>th</w:t>
      </w:r>
      <w:r w:rsidRPr="00F8549B">
        <w:rPr>
          <w:rFonts w:cs="Times New Roman"/>
          <w:color w:val="00B050"/>
          <w:sz w:val="14"/>
          <w:szCs w:val="14"/>
        </w:rPr>
        <w:t xml:space="preserve"> </w:t>
      </w:r>
      <w:r w:rsidRPr="00F8549B">
        <w:rPr>
          <w:rFonts w:cs="Times New Roman"/>
          <w:color w:val="00B050"/>
        </w:rPr>
        <w:t>calendar year after the area’s designation as nonattainment (December 31, 2019</w:t>
      </w:r>
      <w:r w:rsidR="00DC17F9">
        <w:rPr>
          <w:rFonts w:cs="Times New Roman"/>
          <w:color w:val="00B050"/>
        </w:rPr>
        <w:t>,</w:t>
      </w:r>
      <w:r w:rsidRPr="00F8549B">
        <w:rPr>
          <w:rFonts w:cs="Times New Roman"/>
          <w:color w:val="00B050"/>
        </w:rPr>
        <w:t xml:space="preserve"> for the </w:t>
      </w:r>
      <w:r w:rsidR="00D75D0D" w:rsidRPr="00F8549B">
        <w:rPr>
          <w:rFonts w:cs="Times New Roman"/>
          <w:color w:val="00B050"/>
        </w:rPr>
        <w:t>Provo</w:t>
      </w:r>
      <w:r w:rsidRPr="00F8549B">
        <w:rPr>
          <w:rFonts w:cs="Times New Roman"/>
          <w:color w:val="00B050"/>
        </w:rPr>
        <w:t xml:space="preserve"> NAA), and 2) includes provisions to assure that the </w:t>
      </w:r>
      <w:r w:rsidR="00DC17F9">
        <w:rPr>
          <w:rFonts w:cs="Times New Roman"/>
          <w:color w:val="00B050"/>
        </w:rPr>
        <w:t>b</w:t>
      </w:r>
      <w:r w:rsidRPr="00F8549B">
        <w:rPr>
          <w:rFonts w:cs="Times New Roman"/>
          <w:color w:val="00B050"/>
        </w:rPr>
        <w:t xml:space="preserve">est </w:t>
      </w:r>
      <w:r w:rsidR="00DC17F9">
        <w:rPr>
          <w:rFonts w:cs="Times New Roman"/>
          <w:color w:val="00B050"/>
        </w:rPr>
        <w:t>a</w:t>
      </w:r>
      <w:r w:rsidRPr="00F8549B">
        <w:rPr>
          <w:rFonts w:cs="Times New Roman"/>
          <w:color w:val="00B050"/>
        </w:rPr>
        <w:t xml:space="preserve">vailable </w:t>
      </w:r>
      <w:r w:rsidR="00DC17F9">
        <w:rPr>
          <w:rFonts w:cs="Times New Roman"/>
          <w:color w:val="00B050"/>
        </w:rPr>
        <w:t>c</w:t>
      </w:r>
      <w:r w:rsidRPr="00F8549B">
        <w:rPr>
          <w:rFonts w:cs="Times New Roman"/>
          <w:color w:val="00B050"/>
        </w:rPr>
        <w:t xml:space="preserve">ontrol </w:t>
      </w:r>
      <w:r w:rsidR="00DC17F9">
        <w:rPr>
          <w:rFonts w:cs="Times New Roman"/>
          <w:color w:val="00B050"/>
        </w:rPr>
        <w:t>m</w:t>
      </w:r>
      <w:r w:rsidRPr="00F8549B">
        <w:rPr>
          <w:rFonts w:cs="Times New Roman"/>
          <w:color w:val="00B050"/>
        </w:rPr>
        <w:t>easures (BACM) for the control of PM</w:t>
      </w:r>
      <w:r w:rsidR="0043617E">
        <w:rPr>
          <w:rFonts w:cs="Times New Roman"/>
          <w:color w:val="00B050"/>
          <w:vertAlign w:val="subscript"/>
        </w:rPr>
        <w:t>2.5</w:t>
      </w:r>
      <w:r w:rsidR="00400846">
        <w:rPr>
          <w:rFonts w:cs="Times New Roman"/>
          <w:color w:val="00B050"/>
          <w:vertAlign w:val="subscript"/>
        </w:rPr>
        <w:t xml:space="preserve"> </w:t>
      </w:r>
      <w:r w:rsidR="00400846">
        <w:rPr>
          <w:rFonts w:cs="Times New Roman"/>
          <w:color w:val="00B050"/>
        </w:rPr>
        <w:t xml:space="preserve">and its precursors </w:t>
      </w:r>
      <w:r w:rsidRPr="00F8549B">
        <w:rPr>
          <w:rFonts w:cs="Times New Roman"/>
          <w:color w:val="00B050"/>
        </w:rPr>
        <w:t xml:space="preserve">shall be implemented no later than four years after the date the area is re-classified as a </w:t>
      </w:r>
      <w:r w:rsidR="004739ED">
        <w:rPr>
          <w:rFonts w:cs="Times New Roman"/>
          <w:color w:val="00B050"/>
        </w:rPr>
        <w:t>s</w:t>
      </w:r>
      <w:r w:rsidRPr="00F8549B">
        <w:rPr>
          <w:rFonts w:cs="Times New Roman"/>
          <w:color w:val="00B050"/>
        </w:rPr>
        <w:t xml:space="preserve">erious </w:t>
      </w:r>
      <w:r w:rsidR="00DC17F9">
        <w:rPr>
          <w:rFonts w:cs="Times New Roman"/>
          <w:color w:val="00B050"/>
        </w:rPr>
        <w:t>a</w:t>
      </w:r>
      <w:r w:rsidRPr="00F8549B">
        <w:rPr>
          <w:rFonts w:cs="Times New Roman"/>
          <w:color w:val="00B050"/>
        </w:rPr>
        <w:t>rea (June 9, 2021</w:t>
      </w:r>
      <w:r w:rsidR="00DC17F9">
        <w:rPr>
          <w:rFonts w:cs="Times New Roman"/>
          <w:color w:val="00B050"/>
        </w:rPr>
        <w:t>,</w:t>
      </w:r>
      <w:r w:rsidRPr="00F8549B">
        <w:rPr>
          <w:rFonts w:cs="Times New Roman"/>
          <w:color w:val="00B050"/>
        </w:rPr>
        <w:t xml:space="preserve"> for the </w:t>
      </w:r>
      <w:r w:rsidR="00D75D0D" w:rsidRPr="00F8549B">
        <w:rPr>
          <w:rFonts w:cs="Times New Roman"/>
          <w:color w:val="00B050"/>
        </w:rPr>
        <w:t>Provo</w:t>
      </w:r>
      <w:r w:rsidRPr="00F8549B">
        <w:rPr>
          <w:rFonts w:cs="Times New Roman"/>
          <w:color w:val="00B050"/>
        </w:rPr>
        <w:t xml:space="preserve"> NAA</w:t>
      </w:r>
      <w:r w:rsidR="00EF691B">
        <w:rPr>
          <w:rFonts w:cs="Times New Roman"/>
          <w:color w:val="00B050"/>
        </w:rPr>
        <w:t>).</w:t>
      </w:r>
      <w:r w:rsidR="00D75D0D" w:rsidRPr="00F8549B">
        <w:rPr>
          <w:rFonts w:cs="Times New Roman"/>
          <w:color w:val="00B050"/>
        </w:rPr>
        <w:t xml:space="preserve"> To fulfill the subpart 4 requirements, U</w:t>
      </w:r>
      <w:r w:rsidR="000C4033">
        <w:rPr>
          <w:rFonts w:cs="Times New Roman"/>
          <w:color w:val="00B050"/>
        </w:rPr>
        <w:t>DAQ</w:t>
      </w:r>
      <w:r w:rsidR="00D75D0D" w:rsidRPr="00F8549B">
        <w:rPr>
          <w:rFonts w:cs="Times New Roman"/>
          <w:color w:val="00B050"/>
        </w:rPr>
        <w:t xml:space="preserve"> submitted </w:t>
      </w:r>
      <w:r w:rsidR="004739ED">
        <w:rPr>
          <w:rFonts w:cs="Times New Roman"/>
          <w:color w:val="00B050"/>
        </w:rPr>
        <w:t>s</w:t>
      </w:r>
      <w:r w:rsidR="00D75D0D" w:rsidRPr="00F8549B">
        <w:rPr>
          <w:rFonts w:cs="Times New Roman"/>
          <w:color w:val="00B050"/>
        </w:rPr>
        <w:t>erious SIP elements to EPA</w:t>
      </w:r>
      <w:r w:rsidR="00EF691B">
        <w:rPr>
          <w:rFonts w:cs="Times New Roman"/>
          <w:color w:val="00B050"/>
        </w:rPr>
        <w:t xml:space="preserve"> on February 4, 2019</w:t>
      </w:r>
      <w:r w:rsidR="00D75D0D" w:rsidRPr="00F8549B">
        <w:rPr>
          <w:rFonts w:cs="Times New Roman"/>
          <w:color w:val="00B050"/>
        </w:rPr>
        <w:t xml:space="preserve">, </w:t>
      </w:r>
      <w:r w:rsidR="00D75D0D" w:rsidRPr="00D75D0D">
        <w:rPr>
          <w:rFonts w:cs="Times New Roman"/>
          <w:color w:val="00B050"/>
        </w:rPr>
        <w:t>including BACM analysis. SIP approval is discussed in more detail in IX.A.27.b(2).</w:t>
      </w:r>
    </w:p>
    <w:p w14:paraId="4BB7D44E" w14:textId="19256786" w:rsidR="00500C75" w:rsidRDefault="00500C75" w:rsidP="00500C75">
      <w:pPr>
        <w:rPr>
          <w:rFonts w:cs="Times New Roman"/>
        </w:rPr>
      </w:pPr>
      <w:r w:rsidRPr="00A52D4F">
        <w:rPr>
          <w:rFonts w:cs="Times New Roman"/>
          <w:color w:val="00B050"/>
        </w:rPr>
        <w:t xml:space="preserve">The statutory attainment date for the </w:t>
      </w:r>
      <w:r w:rsidR="00CD3064">
        <w:rPr>
          <w:rFonts w:cs="Times New Roman"/>
          <w:color w:val="00B050"/>
        </w:rPr>
        <w:t>Provo</w:t>
      </w:r>
      <w:r w:rsidRPr="00A52D4F">
        <w:rPr>
          <w:rFonts w:cs="Times New Roman"/>
          <w:color w:val="00B050"/>
        </w:rPr>
        <w:t xml:space="preserve"> NAA is December 31, 2019</w:t>
      </w:r>
      <w:r>
        <w:rPr>
          <w:rFonts w:cs="Times New Roman"/>
        </w:rPr>
        <w:t xml:space="preserve">. </w:t>
      </w:r>
      <w:r w:rsidRPr="00EF2C3F">
        <w:rPr>
          <w:rFonts w:cs="Times New Roman"/>
        </w:rPr>
        <w:t>Under the 24-</w:t>
      </w:r>
      <w:r w:rsidRPr="00EF2C3F">
        <w:rPr>
          <w:rFonts w:cs="Times New Roman"/>
          <w:color w:val="000000" w:themeColor="text1"/>
        </w:rPr>
        <w:t xml:space="preserve">hour </w:t>
      </w:r>
      <w:r w:rsidRPr="00664530">
        <w:rPr>
          <w:rFonts w:cs="Times New Roman"/>
        </w:rPr>
        <w:t>PM</w:t>
      </w:r>
      <w:r w:rsidRPr="00664530">
        <w:rPr>
          <w:rFonts w:cs="Times New Roman"/>
          <w:vertAlign w:val="subscript"/>
        </w:rPr>
        <w:t xml:space="preserve">2.5 </w:t>
      </w:r>
      <w:r w:rsidRPr="00664530">
        <w:rPr>
          <w:rFonts w:cs="Times New Roman"/>
        </w:rPr>
        <w:t>NAAQS</w:t>
      </w:r>
      <w:r w:rsidRPr="00EF2C3F">
        <w:rPr>
          <w:rFonts w:cs="Times New Roman"/>
          <w:color w:val="000000" w:themeColor="text1"/>
        </w:rPr>
        <w:t xml:space="preserve">, compliance is determined by the average of </w:t>
      </w:r>
      <w:r>
        <w:rPr>
          <w:rFonts w:cs="Times New Roman"/>
          <w:color w:val="000000" w:themeColor="text1"/>
        </w:rPr>
        <w:t>three</w:t>
      </w:r>
      <w:r w:rsidRPr="00EF2C3F">
        <w:rPr>
          <w:rFonts w:cs="Times New Roman"/>
          <w:color w:val="000000" w:themeColor="text1"/>
        </w:rPr>
        <w:t xml:space="preserve"> years of 98</w:t>
      </w:r>
      <w:r w:rsidRPr="00EF2C3F">
        <w:rPr>
          <w:rFonts w:cs="Times New Roman"/>
          <w:color w:val="000000" w:themeColor="text1"/>
          <w:vertAlign w:val="superscript"/>
        </w:rPr>
        <w:t>th</w:t>
      </w:r>
      <w:r w:rsidRPr="00EF2C3F">
        <w:rPr>
          <w:rFonts w:cs="Times New Roman"/>
          <w:color w:val="000000" w:themeColor="text1"/>
        </w:rPr>
        <w:t xml:space="preserve"> percentile values</w:t>
      </w:r>
      <w:r>
        <w:rPr>
          <w:rFonts w:cs="Times New Roman"/>
          <w:color w:val="000000" w:themeColor="text1"/>
        </w:rPr>
        <w:t>.</w:t>
      </w:r>
      <w:r>
        <w:rPr>
          <w:rFonts w:cs="Times New Roman"/>
        </w:rPr>
        <w:t xml:space="preserve"> </w:t>
      </w:r>
      <w:r w:rsidR="006516FB" w:rsidRPr="00EF2C3F">
        <w:rPr>
          <w:rFonts w:cs="Times New Roman"/>
        </w:rPr>
        <w:t xml:space="preserve">On </w:t>
      </w:r>
      <w:r w:rsidR="006516FB" w:rsidRPr="006B247F">
        <w:rPr>
          <w:rFonts w:cs="Times New Roman"/>
          <w:color w:val="00B050"/>
        </w:rPr>
        <w:t xml:space="preserve">April 10, </w:t>
      </w:r>
      <w:r w:rsidR="006516FB" w:rsidRPr="000977AA">
        <w:rPr>
          <w:rFonts w:cs="Times New Roman"/>
          <w:color w:val="00B050"/>
        </w:rPr>
        <w:t>2019 (84 FR 14267)</w:t>
      </w:r>
      <w:r w:rsidR="006516FB" w:rsidRPr="00E35ACF">
        <w:rPr>
          <w:rFonts w:cs="Times New Roman"/>
        </w:rPr>
        <w:t>,</w:t>
      </w:r>
      <w:r w:rsidR="006516FB" w:rsidRPr="00A577A3">
        <w:rPr>
          <w:rFonts w:cs="Times New Roman"/>
          <w:color w:val="FF0000"/>
        </w:rPr>
        <w:t xml:space="preserve"> </w:t>
      </w:r>
      <w:r w:rsidR="006516FB" w:rsidRPr="00EF2C3F">
        <w:rPr>
          <w:rFonts w:cs="Times New Roman"/>
        </w:rPr>
        <w:t xml:space="preserve">the EPA published a final determination that based on the validated data from </w:t>
      </w:r>
      <w:r w:rsidR="006516FB" w:rsidRPr="00AE64F0">
        <w:rPr>
          <w:rFonts w:cs="Times New Roman"/>
          <w:color w:val="00B050"/>
        </w:rPr>
        <w:t>2015-2017</w:t>
      </w:r>
      <w:r w:rsidR="006516FB" w:rsidRPr="00EF2C3F">
        <w:rPr>
          <w:rFonts w:cs="Times New Roman"/>
        </w:rPr>
        <w:t xml:space="preserve">, the </w:t>
      </w:r>
      <w:r w:rsidR="006516FB" w:rsidRPr="00AE64F0">
        <w:rPr>
          <w:rFonts w:cs="Times New Roman"/>
          <w:color w:val="00B050"/>
        </w:rPr>
        <w:t>Provo, UT nonattainment area attained the 2006 primary and secondary 24-hour PM</w:t>
      </w:r>
      <w:r w:rsidR="006516FB" w:rsidRPr="00AE64F0">
        <w:rPr>
          <w:rFonts w:cs="Times New Roman"/>
          <w:color w:val="00B050"/>
          <w:vertAlign w:val="subscript"/>
        </w:rPr>
        <w:t xml:space="preserve">2.5 </w:t>
      </w:r>
      <w:r w:rsidR="006516FB" w:rsidRPr="00AE64F0">
        <w:rPr>
          <w:rFonts w:cs="Times New Roman"/>
          <w:color w:val="00B050"/>
        </w:rPr>
        <w:t>NAAQS</w:t>
      </w:r>
      <w:r w:rsidR="006516FB" w:rsidRPr="00331760">
        <w:rPr>
          <w:rFonts w:cs="Times New Roman"/>
          <w:color w:val="0070C0"/>
        </w:rPr>
        <w:t xml:space="preserve">. </w:t>
      </w:r>
      <w:r w:rsidR="00331760">
        <w:t xml:space="preserve">The purpose of this SIP submittal is to </w:t>
      </w:r>
      <w:r w:rsidR="00C15686">
        <w:t xml:space="preserve">demonstrate that the </w:t>
      </w:r>
      <w:r w:rsidR="006516FB" w:rsidRPr="006516FB">
        <w:rPr>
          <w:color w:val="00B050"/>
        </w:rPr>
        <w:t>Provo</w:t>
      </w:r>
      <w:r w:rsidR="00C15686" w:rsidRPr="006516FB">
        <w:rPr>
          <w:color w:val="00B050"/>
        </w:rPr>
        <w:t xml:space="preserve"> NAA</w:t>
      </w:r>
      <w:r w:rsidR="00C15686">
        <w:t xml:space="preserve"> is eligible for </w:t>
      </w:r>
      <w:proofErr w:type="spellStart"/>
      <w:r w:rsidR="00331760">
        <w:t>redesignation</w:t>
      </w:r>
      <w:proofErr w:type="spellEnd"/>
      <w:r w:rsidR="00331760">
        <w:t xml:space="preserve"> to attainment </w:t>
      </w:r>
      <w:r w:rsidR="00C15686">
        <w:t>(IX.A.</w:t>
      </w:r>
      <w:r w:rsidR="006516FB">
        <w:t>27</w:t>
      </w:r>
      <w:r w:rsidR="00C15686">
        <w:t xml:space="preserve">.b) </w:t>
      </w:r>
      <w:r w:rsidR="00331760">
        <w:t xml:space="preserve">and document a </w:t>
      </w:r>
      <w:r w:rsidR="006C613B">
        <w:t>ten-year</w:t>
      </w:r>
      <w:r w:rsidR="00331760">
        <w:t xml:space="preserve"> maintenance plan</w:t>
      </w:r>
      <w:r w:rsidR="00C15686">
        <w:t xml:space="preserve"> (IX.A.</w:t>
      </w:r>
      <w:r w:rsidR="006516FB">
        <w:t>27</w:t>
      </w:r>
      <w:r w:rsidR="00C15686">
        <w:t>.c)</w:t>
      </w:r>
      <w:r w:rsidR="00331760">
        <w:t>.</w:t>
      </w:r>
    </w:p>
    <w:p w14:paraId="665892BE" w14:textId="431E4B77" w:rsidR="004C1422" w:rsidRPr="00EF2C3F" w:rsidRDefault="00E77169" w:rsidP="00601196">
      <w:pPr>
        <w:pStyle w:val="Heading1"/>
        <w:numPr>
          <w:ilvl w:val="0"/>
          <w:numId w:val="0"/>
        </w:numPr>
      </w:pPr>
      <w:bookmarkStart w:id="2" w:name="_Toc17201184"/>
      <w:r>
        <w:t>IX.A.</w:t>
      </w:r>
      <w:r w:rsidR="00BC79C4">
        <w:t>27</w:t>
      </w:r>
      <w:r w:rsidR="0048689A">
        <w:t>.b</w:t>
      </w:r>
      <w:r w:rsidR="0048689A" w:rsidRPr="00196516">
        <w:t xml:space="preserve"> </w:t>
      </w:r>
      <w:proofErr w:type="spellStart"/>
      <w:r w:rsidR="00601196">
        <w:t>Redesignation</w:t>
      </w:r>
      <w:proofErr w:type="spellEnd"/>
      <w:r w:rsidR="00601196">
        <w:t xml:space="preserve"> Requirements</w:t>
      </w:r>
      <w:bookmarkEnd w:id="2"/>
    </w:p>
    <w:p w14:paraId="6F027E21" w14:textId="0A442B89" w:rsidR="00DE4DA8" w:rsidRDefault="005F7C91" w:rsidP="00E875DA">
      <w:r w:rsidRPr="00EF2C3F">
        <w:t xml:space="preserve">Section 107(d)(3)(E) of the Act outlines five requirements that </w:t>
      </w:r>
      <w:r w:rsidR="00C91C47">
        <w:t>a nonattainment area must satisfy</w:t>
      </w:r>
      <w:r w:rsidRPr="00EF2C3F">
        <w:t xml:space="preserve"> </w:t>
      </w:r>
      <w:r w:rsidR="000259EE">
        <w:t>before</w:t>
      </w:r>
      <w:r w:rsidRPr="00EF2C3F">
        <w:t xml:space="preserve"> </w:t>
      </w:r>
      <w:r w:rsidR="00C91C47">
        <w:t>an area</w:t>
      </w:r>
      <w:r w:rsidRPr="00EF2C3F">
        <w:t xml:space="preserve"> may </w:t>
      </w:r>
      <w:r w:rsidR="000259EE">
        <w:t>be eligible for</w:t>
      </w:r>
      <w:r w:rsidRPr="00EF2C3F">
        <w:t xml:space="preserve"> </w:t>
      </w:r>
      <w:proofErr w:type="spellStart"/>
      <w:r w:rsidR="000259EE">
        <w:t>redesignation</w:t>
      </w:r>
      <w:proofErr w:type="spellEnd"/>
      <w:r w:rsidR="000259EE">
        <w:t xml:space="preserve"> from nonattainment to </w:t>
      </w:r>
      <w:r w:rsidRPr="00EF2C3F">
        <w:t>attainment</w:t>
      </w:r>
      <w:r w:rsidR="00383724">
        <w:t xml:space="preserve"> status</w:t>
      </w:r>
      <w:r w:rsidRPr="00EF2C3F">
        <w:t xml:space="preserve">. </w:t>
      </w:r>
      <w:r w:rsidR="00930C14">
        <w:t>Table IX.A.</w:t>
      </w:r>
      <w:r w:rsidR="00475053">
        <w:t>27</w:t>
      </w:r>
      <w:r w:rsidR="002E648D" w:rsidRPr="00500D1A">
        <w:t xml:space="preserve">.1 identifies the </w:t>
      </w:r>
      <w:proofErr w:type="spellStart"/>
      <w:r w:rsidR="006B312B">
        <w:t>redesignation</w:t>
      </w:r>
      <w:proofErr w:type="spellEnd"/>
      <w:r w:rsidR="00C91C47">
        <w:t xml:space="preserve"> requirements as they are stated in</w:t>
      </w:r>
      <w:r w:rsidR="002E648D" w:rsidRPr="00EF2C3F">
        <w:t xml:space="preserve"> Section 107(d)(3)(E) of the Act. </w:t>
      </w:r>
      <w:r w:rsidR="006C58AA">
        <w:t>Each element will be addressed in turn, with t</w:t>
      </w:r>
      <w:r w:rsidR="007436D8" w:rsidRPr="00EF2C3F">
        <w:t>he central element</w:t>
      </w:r>
      <w:r w:rsidR="006C58AA">
        <w:t xml:space="preserve"> being </w:t>
      </w:r>
      <w:r w:rsidR="007436D8" w:rsidRPr="00500D1A">
        <w:t xml:space="preserve">the maintenance </w:t>
      </w:r>
      <w:r w:rsidR="00930C14">
        <w:t xml:space="preserve">plan found </w:t>
      </w:r>
      <w:r w:rsidR="00EF691B">
        <w:t>in</w:t>
      </w:r>
      <w:r w:rsidR="00930C14">
        <w:t xml:space="preserve"> Subsection IX.A.</w:t>
      </w:r>
      <w:r w:rsidR="00475053">
        <w:t>27</w:t>
      </w:r>
      <w:r w:rsidR="007436D8" w:rsidRPr="00500D1A">
        <w:t>.c below.</w:t>
      </w:r>
    </w:p>
    <w:tbl>
      <w:tblPr>
        <w:tblW w:w="0" w:type="auto"/>
        <w:tblInd w:w="-90" w:type="dxa"/>
        <w:tblBorders>
          <w:top w:val="single" w:sz="6" w:space="0" w:color="000000"/>
          <w:bottom w:val="single" w:sz="6" w:space="0" w:color="000000"/>
          <w:insideH w:val="single" w:sz="6" w:space="0" w:color="000000"/>
        </w:tblBorders>
        <w:tblLayout w:type="fixed"/>
        <w:tblCellMar>
          <w:left w:w="0" w:type="dxa"/>
          <w:right w:w="0" w:type="dxa"/>
        </w:tblCellMar>
        <w:tblLook w:val="0000" w:firstRow="0" w:lastRow="0" w:firstColumn="0" w:lastColumn="0" w:noHBand="0" w:noVBand="0"/>
      </w:tblPr>
      <w:tblGrid>
        <w:gridCol w:w="1554"/>
        <w:gridCol w:w="4409"/>
        <w:gridCol w:w="1800"/>
        <w:gridCol w:w="1327"/>
      </w:tblGrid>
      <w:tr w:rsidR="00551E92" w:rsidRPr="00551E92" w14:paraId="31E8E48B" w14:textId="77777777" w:rsidTr="009E0479">
        <w:trPr>
          <w:cantSplit/>
        </w:trPr>
        <w:tc>
          <w:tcPr>
            <w:tcW w:w="1554" w:type="dxa"/>
            <w:shd w:val="clear" w:color="auto" w:fill="D9D9D9" w:themeFill="background1" w:themeFillShade="D9"/>
          </w:tcPr>
          <w:p w14:paraId="4DADA289"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Category</w:t>
            </w:r>
          </w:p>
        </w:tc>
        <w:tc>
          <w:tcPr>
            <w:tcW w:w="4409" w:type="dxa"/>
            <w:shd w:val="clear" w:color="auto" w:fill="D9D9D9" w:themeFill="background1" w:themeFillShade="D9"/>
          </w:tcPr>
          <w:p w14:paraId="19414700"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Requirement</w:t>
            </w:r>
          </w:p>
        </w:tc>
        <w:tc>
          <w:tcPr>
            <w:tcW w:w="1800" w:type="dxa"/>
            <w:shd w:val="clear" w:color="auto" w:fill="D9D9D9" w:themeFill="background1" w:themeFillShade="D9"/>
          </w:tcPr>
          <w:p w14:paraId="784D8DAF"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Reference</w:t>
            </w:r>
          </w:p>
        </w:tc>
        <w:tc>
          <w:tcPr>
            <w:tcW w:w="1327" w:type="dxa"/>
            <w:shd w:val="clear" w:color="auto" w:fill="D9D9D9" w:themeFill="background1" w:themeFillShade="D9"/>
          </w:tcPr>
          <w:p w14:paraId="524165BD" w14:textId="77777777" w:rsidR="00551E92" w:rsidRPr="00725287" w:rsidRDefault="00551E92" w:rsidP="00FB1FA6">
            <w:pPr>
              <w:spacing w:after="0" w:line="240" w:lineRule="auto"/>
              <w:jc w:val="center"/>
              <w:rPr>
                <w:rFonts w:ascii="Arial" w:eastAsia="Times New Roman" w:hAnsi="Arial" w:cs="Arial"/>
                <w:b/>
                <w:bCs/>
                <w:sz w:val="20"/>
                <w:szCs w:val="20"/>
              </w:rPr>
            </w:pPr>
            <w:r w:rsidRPr="00725287">
              <w:rPr>
                <w:rFonts w:ascii="Arial" w:eastAsia="Times New Roman" w:hAnsi="Arial" w:cs="Arial"/>
                <w:b/>
                <w:bCs/>
                <w:sz w:val="20"/>
                <w:szCs w:val="20"/>
              </w:rPr>
              <w:t>Addressed in Section</w:t>
            </w:r>
          </w:p>
        </w:tc>
      </w:tr>
      <w:tr w:rsidR="00551E92" w:rsidRPr="00551E92" w14:paraId="372795B7" w14:textId="77777777" w:rsidTr="00725287">
        <w:trPr>
          <w:cantSplit/>
        </w:trPr>
        <w:tc>
          <w:tcPr>
            <w:tcW w:w="1554" w:type="dxa"/>
          </w:tcPr>
          <w:p w14:paraId="4E947D0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Attainment of Standard</w:t>
            </w:r>
          </w:p>
        </w:tc>
        <w:tc>
          <w:tcPr>
            <w:tcW w:w="4409" w:type="dxa"/>
          </w:tcPr>
          <w:p w14:paraId="318CD819" w14:textId="27469E53"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Three consecutive years of </w:t>
            </w:r>
            <w:r w:rsidR="0082090D" w:rsidRPr="00725287">
              <w:rPr>
                <w:rFonts w:ascii="Arial" w:hAnsi="Arial" w:cs="Arial"/>
                <w:sz w:val="20"/>
                <w:szCs w:val="20"/>
              </w:rPr>
              <w:t>PM</w:t>
            </w:r>
            <w:r w:rsidR="0082090D" w:rsidRPr="00725287">
              <w:rPr>
                <w:rFonts w:ascii="Arial" w:hAnsi="Arial" w:cs="Arial"/>
                <w:sz w:val="20"/>
                <w:szCs w:val="20"/>
                <w:vertAlign w:val="subscript"/>
              </w:rPr>
              <w:t>2.5</w:t>
            </w:r>
            <w:r w:rsidRPr="00725287">
              <w:rPr>
                <w:rFonts w:ascii="Arial" w:eastAsia="Times New Roman" w:hAnsi="Arial" w:cs="Arial"/>
                <w:sz w:val="20"/>
                <w:szCs w:val="20"/>
              </w:rPr>
              <w:t xml:space="preserve"> monitoring data must show that violations of the standard are no longer occurring  </w:t>
            </w:r>
          </w:p>
        </w:tc>
        <w:tc>
          <w:tcPr>
            <w:tcW w:w="1800" w:type="dxa"/>
          </w:tcPr>
          <w:p w14:paraId="034B022A"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w:t>
            </w:r>
            <w:proofErr w:type="spellStart"/>
            <w:r w:rsidRPr="00725287">
              <w:rPr>
                <w:rFonts w:ascii="Arial" w:eastAsia="Times New Roman" w:hAnsi="Arial" w:cs="Arial"/>
                <w:sz w:val="20"/>
                <w:szCs w:val="20"/>
              </w:rPr>
              <w:t>i</w:t>
            </w:r>
            <w:proofErr w:type="spellEnd"/>
            <w:r w:rsidRPr="00725287">
              <w:rPr>
                <w:rFonts w:ascii="Arial" w:eastAsia="Times New Roman" w:hAnsi="Arial" w:cs="Arial"/>
                <w:sz w:val="20"/>
                <w:szCs w:val="20"/>
              </w:rPr>
              <w:t xml:space="preserve">) </w:t>
            </w:r>
          </w:p>
        </w:tc>
        <w:tc>
          <w:tcPr>
            <w:tcW w:w="1327" w:type="dxa"/>
          </w:tcPr>
          <w:p w14:paraId="6F9EB8E1" w14:textId="486EEB60"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.b(1)</w:t>
            </w:r>
          </w:p>
        </w:tc>
      </w:tr>
      <w:tr w:rsidR="00551E92" w:rsidRPr="00551E92" w14:paraId="281F31DC" w14:textId="77777777" w:rsidTr="00725287">
        <w:trPr>
          <w:cantSplit/>
        </w:trPr>
        <w:tc>
          <w:tcPr>
            <w:tcW w:w="1554" w:type="dxa"/>
          </w:tcPr>
          <w:p w14:paraId="04A74F59" w14:textId="77777777" w:rsidR="00551E92" w:rsidRPr="00725287" w:rsidRDefault="00551E92" w:rsidP="00FB1FA6">
            <w:pPr>
              <w:spacing w:after="0" w:line="240" w:lineRule="auto"/>
              <w:rPr>
                <w:rFonts w:ascii="Arial" w:eastAsia="Times New Roman" w:hAnsi="Arial" w:cs="Arial"/>
                <w:sz w:val="20"/>
                <w:szCs w:val="20"/>
              </w:rPr>
            </w:pPr>
            <w:r w:rsidRPr="00725287">
              <w:rPr>
                <w:rFonts w:ascii="Arial" w:eastAsia="Times New Roman" w:hAnsi="Arial" w:cs="Arial"/>
                <w:sz w:val="20"/>
                <w:szCs w:val="20"/>
              </w:rPr>
              <w:t>Approved S</w:t>
            </w:r>
            <w:r w:rsidR="00FB1FA6" w:rsidRPr="00725287">
              <w:rPr>
                <w:rFonts w:ascii="Arial" w:eastAsia="Times New Roman" w:hAnsi="Arial" w:cs="Arial"/>
                <w:sz w:val="20"/>
                <w:szCs w:val="20"/>
              </w:rPr>
              <w:t>IP</w:t>
            </w:r>
          </w:p>
        </w:tc>
        <w:tc>
          <w:tcPr>
            <w:tcW w:w="4409" w:type="dxa"/>
          </w:tcPr>
          <w:p w14:paraId="219BAFD9" w14:textId="5B349B29"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The </w:t>
            </w:r>
            <w:r w:rsidR="00383724">
              <w:rPr>
                <w:rFonts w:ascii="Arial" w:eastAsia="Times New Roman" w:hAnsi="Arial" w:cs="Arial"/>
                <w:sz w:val="20"/>
                <w:szCs w:val="20"/>
              </w:rPr>
              <w:t xml:space="preserve">attainment </w:t>
            </w:r>
            <w:r w:rsidRPr="00725287">
              <w:rPr>
                <w:rFonts w:ascii="Arial" w:eastAsia="Times New Roman" w:hAnsi="Arial" w:cs="Arial"/>
                <w:sz w:val="20"/>
                <w:szCs w:val="20"/>
              </w:rPr>
              <w:t>SIP for the area must be fully approved</w:t>
            </w:r>
          </w:p>
        </w:tc>
        <w:tc>
          <w:tcPr>
            <w:tcW w:w="1800" w:type="dxa"/>
          </w:tcPr>
          <w:p w14:paraId="6CB5D93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§107(d)(3)(E)(ii)</w:t>
            </w:r>
          </w:p>
          <w:p w14:paraId="175C0F52"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41C47091" w14:textId="0D19CE1D"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.b(2)</w:t>
            </w:r>
          </w:p>
        </w:tc>
      </w:tr>
      <w:tr w:rsidR="00551E92" w:rsidRPr="00551E92" w14:paraId="0FF6D26C" w14:textId="77777777" w:rsidTr="00725287">
        <w:trPr>
          <w:cantSplit/>
        </w:trPr>
        <w:tc>
          <w:tcPr>
            <w:tcW w:w="1554" w:type="dxa"/>
          </w:tcPr>
          <w:p w14:paraId="4FC88DD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Permanent and Enforceable Emissions Reductions </w:t>
            </w:r>
          </w:p>
        </w:tc>
        <w:tc>
          <w:tcPr>
            <w:tcW w:w="4409" w:type="dxa"/>
          </w:tcPr>
          <w:p w14:paraId="5BF5CDBD"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be able to reasonably attribute the improvement in air quality to emission reductions that are permanent and enforceable</w:t>
            </w:r>
          </w:p>
        </w:tc>
        <w:tc>
          <w:tcPr>
            <w:tcW w:w="1800" w:type="dxa"/>
          </w:tcPr>
          <w:p w14:paraId="7FE2AFB0"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 xml:space="preserve">CAA §107(d)(3)(E)(iii), </w:t>
            </w:r>
            <w:proofErr w:type="spellStart"/>
            <w:r w:rsidRPr="00725287">
              <w:rPr>
                <w:rFonts w:ascii="Arial" w:eastAsia="Times New Roman" w:hAnsi="Arial" w:cs="Arial"/>
                <w:sz w:val="20"/>
                <w:szCs w:val="20"/>
              </w:rPr>
              <w:t>Calcagni</w:t>
            </w:r>
            <w:proofErr w:type="spellEnd"/>
            <w:r w:rsidRPr="00725287">
              <w:rPr>
                <w:rFonts w:ascii="Arial" w:eastAsia="Times New Roman" w:hAnsi="Arial" w:cs="Arial"/>
                <w:sz w:val="20"/>
                <w:szCs w:val="20"/>
              </w:rPr>
              <w:t xml:space="preserve"> memo (Sect 3, para 2)</w:t>
            </w:r>
          </w:p>
          <w:p w14:paraId="367ADF96" w14:textId="77777777" w:rsidR="00551E92" w:rsidRPr="00725287" w:rsidRDefault="00551E92" w:rsidP="00551E92">
            <w:pPr>
              <w:spacing w:after="0" w:line="240" w:lineRule="auto"/>
              <w:rPr>
                <w:rFonts w:ascii="Arial" w:eastAsia="Times New Roman" w:hAnsi="Arial" w:cs="Arial"/>
                <w:sz w:val="20"/>
                <w:szCs w:val="20"/>
              </w:rPr>
            </w:pPr>
          </w:p>
        </w:tc>
        <w:tc>
          <w:tcPr>
            <w:tcW w:w="1327" w:type="dxa"/>
          </w:tcPr>
          <w:p w14:paraId="22E03FA8" w14:textId="257C663C"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.b(3)</w:t>
            </w:r>
          </w:p>
        </w:tc>
      </w:tr>
      <w:tr w:rsidR="00551E92" w:rsidRPr="00551E92" w14:paraId="083C6EBE" w14:textId="77777777" w:rsidTr="00725287">
        <w:trPr>
          <w:cantSplit/>
        </w:trPr>
        <w:tc>
          <w:tcPr>
            <w:tcW w:w="1554" w:type="dxa"/>
          </w:tcPr>
          <w:p w14:paraId="0AF32A2B"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Section 110 and Part D requirements</w:t>
            </w:r>
          </w:p>
        </w:tc>
        <w:tc>
          <w:tcPr>
            <w:tcW w:w="4409" w:type="dxa"/>
          </w:tcPr>
          <w:p w14:paraId="2DA55830" w14:textId="0C3158E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State must verify that the area has met all requirements applicable to the area under section 110 and Part D</w:t>
            </w:r>
          </w:p>
        </w:tc>
        <w:tc>
          <w:tcPr>
            <w:tcW w:w="1800" w:type="dxa"/>
          </w:tcPr>
          <w:p w14:paraId="3B34F57E"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§107(d)(3)(E)(v), §110(a)(2), Sec 171</w:t>
            </w:r>
          </w:p>
        </w:tc>
        <w:tc>
          <w:tcPr>
            <w:tcW w:w="1327" w:type="dxa"/>
          </w:tcPr>
          <w:p w14:paraId="79BAA442" w14:textId="78A230A6" w:rsidR="00551E92" w:rsidRPr="00725287" w:rsidRDefault="00551E92" w:rsidP="008A257F">
            <w:pPr>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.b(4)</w:t>
            </w:r>
          </w:p>
        </w:tc>
      </w:tr>
      <w:tr w:rsidR="00551E92" w:rsidRPr="00551E92" w14:paraId="2728E8C0" w14:textId="77777777" w:rsidTr="00725287">
        <w:trPr>
          <w:cantSplit/>
        </w:trPr>
        <w:tc>
          <w:tcPr>
            <w:tcW w:w="1554" w:type="dxa"/>
          </w:tcPr>
          <w:p w14:paraId="11711EC2"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Maintenance Plan</w:t>
            </w:r>
          </w:p>
        </w:tc>
        <w:tc>
          <w:tcPr>
            <w:tcW w:w="4409" w:type="dxa"/>
          </w:tcPr>
          <w:p w14:paraId="3BB5A0A4"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The Administrator has fully approved the Maintenance Plan for the area as meeting the requirements of CAA §175A</w:t>
            </w:r>
          </w:p>
        </w:tc>
        <w:tc>
          <w:tcPr>
            <w:tcW w:w="1800" w:type="dxa"/>
          </w:tcPr>
          <w:p w14:paraId="41E074D7" w14:textId="77777777" w:rsidR="00551E92" w:rsidRPr="00725287" w:rsidRDefault="00551E92" w:rsidP="00551E92">
            <w:pPr>
              <w:spacing w:after="0" w:line="240" w:lineRule="auto"/>
              <w:rPr>
                <w:rFonts w:ascii="Arial" w:eastAsia="Times New Roman" w:hAnsi="Arial" w:cs="Arial"/>
                <w:sz w:val="20"/>
                <w:szCs w:val="20"/>
              </w:rPr>
            </w:pPr>
            <w:r w:rsidRPr="00725287">
              <w:rPr>
                <w:rFonts w:ascii="Arial" w:eastAsia="Times New Roman" w:hAnsi="Arial" w:cs="Arial"/>
                <w:sz w:val="20"/>
                <w:szCs w:val="20"/>
              </w:rPr>
              <w:t>CAA:  §107(d)(3)(E)(iv)</w:t>
            </w:r>
          </w:p>
        </w:tc>
        <w:tc>
          <w:tcPr>
            <w:tcW w:w="1327" w:type="dxa"/>
          </w:tcPr>
          <w:p w14:paraId="5AEF3DF6" w14:textId="3708F8C1" w:rsidR="00551E92" w:rsidRPr="00725287" w:rsidRDefault="00551E92" w:rsidP="002A48B2">
            <w:pPr>
              <w:keepNext/>
              <w:spacing w:after="0" w:line="240" w:lineRule="auto"/>
              <w:rPr>
                <w:rFonts w:ascii="Arial" w:eastAsia="Times New Roman" w:hAnsi="Arial" w:cs="Arial"/>
                <w:sz w:val="20"/>
                <w:szCs w:val="20"/>
              </w:rPr>
            </w:pPr>
            <w:r w:rsidRPr="00725287">
              <w:rPr>
                <w:rFonts w:ascii="Arial" w:eastAsia="Times New Roman" w:hAnsi="Arial" w:cs="Arial"/>
                <w:sz w:val="20"/>
                <w:szCs w:val="20"/>
              </w:rPr>
              <w:t>IX.A.</w:t>
            </w:r>
            <w:r w:rsidR="00475053">
              <w:rPr>
                <w:rFonts w:ascii="Arial" w:eastAsia="Times New Roman" w:hAnsi="Arial" w:cs="Arial"/>
                <w:sz w:val="20"/>
                <w:szCs w:val="20"/>
              </w:rPr>
              <w:t>27</w:t>
            </w:r>
            <w:r w:rsidRPr="00725287">
              <w:rPr>
                <w:rFonts w:ascii="Arial" w:eastAsia="Times New Roman" w:hAnsi="Arial" w:cs="Arial"/>
                <w:sz w:val="20"/>
                <w:szCs w:val="20"/>
              </w:rPr>
              <w:t>.b(5) and IX.A.</w:t>
            </w:r>
            <w:r w:rsidR="00475053">
              <w:rPr>
                <w:rFonts w:ascii="Arial" w:eastAsia="Times New Roman" w:hAnsi="Arial" w:cs="Arial"/>
                <w:sz w:val="20"/>
                <w:szCs w:val="20"/>
              </w:rPr>
              <w:t>27</w:t>
            </w:r>
            <w:r w:rsidRPr="00725287">
              <w:rPr>
                <w:rFonts w:ascii="Arial" w:eastAsia="Times New Roman" w:hAnsi="Arial" w:cs="Arial"/>
                <w:sz w:val="20"/>
                <w:szCs w:val="20"/>
              </w:rPr>
              <w:t>.c</w:t>
            </w:r>
          </w:p>
        </w:tc>
      </w:tr>
    </w:tbl>
    <w:p w14:paraId="76B558B4" w14:textId="5EBC16E1" w:rsidR="002A48B2" w:rsidRDefault="002A48B2">
      <w:pPr>
        <w:pStyle w:val="Caption"/>
      </w:pPr>
      <w:bookmarkStart w:id="3" w:name="_Toc17201275"/>
      <w:bookmarkStart w:id="4" w:name="_Toc10186274"/>
      <w:bookmarkStart w:id="5" w:name="_Toc15906988"/>
      <w:r>
        <w:t xml:space="preserve">Table IX.A.27. </w:t>
      </w:r>
      <w:fldSimple w:instr=" SEQ Table_IX.A.27. \* ARABIC ">
        <w:r w:rsidR="00C012A9">
          <w:rPr>
            <w:noProof/>
          </w:rPr>
          <w:t>1</w:t>
        </w:r>
      </w:fldSimple>
      <w:r w:rsidRPr="002A48B2">
        <w:t xml:space="preserve"> </w:t>
      </w:r>
      <w:r w:rsidRPr="00612306">
        <w:t xml:space="preserve">Prerequisites to </w:t>
      </w:r>
      <w:proofErr w:type="spellStart"/>
      <w:r w:rsidRPr="00612306">
        <w:t>Redesignation</w:t>
      </w:r>
      <w:proofErr w:type="spellEnd"/>
      <w:r w:rsidRPr="00612306">
        <w:t xml:space="preserve"> in the Federal Clean Air Act</w:t>
      </w:r>
      <w:bookmarkEnd w:id="3"/>
    </w:p>
    <w:p w14:paraId="48CDBBC0" w14:textId="2FAEECDE" w:rsidR="00986895" w:rsidRPr="00986895" w:rsidRDefault="002A48B2" w:rsidP="00396327">
      <w:pPr>
        <w:pStyle w:val="Heading2"/>
        <w:numPr>
          <w:ilvl w:val="0"/>
          <w:numId w:val="0"/>
        </w:numPr>
        <w:ind w:left="720" w:hanging="360"/>
      </w:pPr>
      <w:bookmarkStart w:id="6" w:name="_Hlk16171471"/>
      <w:bookmarkEnd w:id="4"/>
      <w:bookmarkEnd w:id="5"/>
      <w:r w:rsidRPr="00986895">
        <w:t xml:space="preserve"> </w:t>
      </w:r>
      <w:bookmarkStart w:id="7" w:name="_Toc17201185"/>
      <w:r w:rsidR="00986895" w:rsidRPr="00986895">
        <w:t xml:space="preserve">(1) </w:t>
      </w:r>
      <w:r w:rsidR="00A77B2A">
        <w:t>The Area H</w:t>
      </w:r>
      <w:r w:rsidR="00986895" w:rsidRPr="00986895">
        <w:t>as Attained the PM</w:t>
      </w:r>
      <w:r w:rsidR="006C7AA8">
        <w:rPr>
          <w:vertAlign w:val="subscript"/>
        </w:rPr>
        <w:t>2.5</w:t>
      </w:r>
      <w:r w:rsidR="00986895" w:rsidRPr="00986895">
        <w:t xml:space="preserve"> NAAQS</w:t>
      </w:r>
      <w:bookmarkEnd w:id="7"/>
    </w:p>
    <w:bookmarkEnd w:id="6"/>
    <w:p w14:paraId="17A89509" w14:textId="77777777" w:rsidR="00446FF5" w:rsidRPr="00E875DA" w:rsidRDefault="00446FF5" w:rsidP="00446FF5">
      <w:r w:rsidRPr="00EF2C3F">
        <w:rPr>
          <w:rFonts w:eastAsia="Times New Roman" w:cs="Times New Roman"/>
        </w:rPr>
        <w:t>CAA 107(d)(3)(E)(</w:t>
      </w:r>
      <w:proofErr w:type="spellStart"/>
      <w:r w:rsidRPr="00EF2C3F">
        <w:rPr>
          <w:rFonts w:eastAsia="Times New Roman" w:cs="Times New Roman"/>
        </w:rPr>
        <w:t>i</w:t>
      </w:r>
      <w:proofErr w:type="spellEnd"/>
      <w:r w:rsidRPr="00EF2C3F">
        <w:rPr>
          <w:rFonts w:eastAsia="Times New Roman" w:cs="Times New Roman"/>
        </w:rPr>
        <w:t xml:space="preserve">) – </w:t>
      </w:r>
      <w:r w:rsidRPr="005D365C">
        <w:rPr>
          <w:rFonts w:eastAsia="Times New Roman" w:cs="Times New Roman"/>
          <w:i/>
        </w:rPr>
        <w:t>The Administrator determines that the area has attained the national ambient air quality standard</w:t>
      </w:r>
      <w:r w:rsidRPr="00EF2C3F">
        <w:rPr>
          <w:rFonts w:eastAsia="Times New Roman" w:cs="Times New Roman"/>
        </w:rPr>
        <w:t xml:space="preserve">. </w:t>
      </w:r>
      <w:r w:rsidRPr="00E875DA">
        <w:t xml:space="preserve">To satisfy this requirement, the State must show that the area is </w:t>
      </w:r>
      <w:r w:rsidR="003811E2" w:rsidRPr="00E875DA">
        <w:t>attaining the applicable NAAQS. According to EPA’s guidance</w:t>
      </w:r>
      <w:r w:rsidR="0050263E">
        <w:rPr>
          <w:rStyle w:val="FootnoteReference"/>
        </w:rPr>
        <w:footnoteReference w:id="3"/>
      </w:r>
      <w:r w:rsidR="003811E2" w:rsidRPr="00E875DA">
        <w:t xml:space="preserve"> </w:t>
      </w:r>
      <w:r w:rsidR="00F33E43">
        <w:t xml:space="preserve">concerning area </w:t>
      </w:r>
      <w:proofErr w:type="spellStart"/>
      <w:r w:rsidR="00F33E43">
        <w:t>redesignations</w:t>
      </w:r>
      <w:proofErr w:type="spellEnd"/>
      <w:r w:rsidR="003811E2" w:rsidRPr="00E875DA">
        <w:t>, there are generally two components involved in making this dem</w:t>
      </w:r>
      <w:r w:rsidR="00383724">
        <w:t xml:space="preserve">onstration. </w:t>
      </w:r>
      <w:r w:rsidR="003811E2" w:rsidRPr="00E875DA">
        <w:t>The first relies upon ambient air quality data which should be representative of the area of highest concentration and should be collected and quality assured</w:t>
      </w:r>
      <w:r w:rsidR="00383724">
        <w:t xml:space="preserve"> in accordance with 40 CFR 58. </w:t>
      </w:r>
      <w:r w:rsidR="003811E2" w:rsidRPr="00E875DA">
        <w:t xml:space="preserve">The second component relies upon supplemental air quality modeling.  Each </w:t>
      </w:r>
      <w:r w:rsidR="00B0792D" w:rsidRPr="00E875DA">
        <w:t>component will be addressed</w:t>
      </w:r>
      <w:r w:rsidR="003811E2" w:rsidRPr="00E875DA">
        <w:t xml:space="preserve"> in turn.</w:t>
      </w:r>
    </w:p>
    <w:p w14:paraId="396A3D68" w14:textId="77777777" w:rsidR="004C1422" w:rsidRPr="00EF2C3F" w:rsidRDefault="004C1422" w:rsidP="00087E00">
      <w:pPr>
        <w:pStyle w:val="Heading3"/>
        <w:numPr>
          <w:ilvl w:val="0"/>
          <w:numId w:val="12"/>
        </w:numPr>
      </w:pPr>
      <w:bookmarkStart w:id="8" w:name="_Toc17201186"/>
      <w:r w:rsidRPr="00EF2C3F">
        <w:t xml:space="preserve">Ambient Air Quality Data (Monitoring) </w:t>
      </w:r>
      <w:r w:rsidR="00F93D75" w:rsidRPr="00EF2C3F">
        <w:t>and Utah’s Monitoring Network</w:t>
      </w:r>
      <w:bookmarkEnd w:id="8"/>
    </w:p>
    <w:p w14:paraId="3BC28F08" w14:textId="77777777" w:rsidR="007F7988" w:rsidRPr="00EF2C3F" w:rsidRDefault="008E23BC" w:rsidP="00E875DA">
      <w:r w:rsidRPr="00EF2C3F">
        <w:t xml:space="preserve">The NAAQS for </w:t>
      </w:r>
      <w:r w:rsidR="00DE639D" w:rsidRPr="00EF2C3F">
        <w:t>PM</w:t>
      </w:r>
      <w:r w:rsidR="00DE639D" w:rsidRPr="00EF2C3F">
        <w:rPr>
          <w:vertAlign w:val="subscript"/>
        </w:rPr>
        <w:t>2.5</w:t>
      </w:r>
      <w:r w:rsidR="00DE639D" w:rsidRPr="00EF2C3F">
        <w:t xml:space="preserve"> </w:t>
      </w:r>
      <w:r w:rsidR="00A7796C" w:rsidRPr="00EF2C3F">
        <w:t>are listed in 40 CFR 50.13</w:t>
      </w:r>
      <w:r w:rsidRPr="00EF2C3F">
        <w:t xml:space="preserve">. The </w:t>
      </w:r>
      <w:r w:rsidR="003811E2" w:rsidRPr="00EF2C3F">
        <w:t xml:space="preserve">2006 </w:t>
      </w:r>
      <w:r w:rsidRPr="00EF2C3F">
        <w:t xml:space="preserve">24-hour NAAQS is </w:t>
      </w:r>
      <w:r w:rsidR="0016479E">
        <w:t>35 micrograms per cubic meter (µ</w:t>
      </w:r>
      <w:r w:rsidRPr="00EF2C3F">
        <w:t>g/</w:t>
      </w:r>
      <w:r w:rsidR="001131AB" w:rsidRPr="00EF2C3F">
        <w:t>m</w:t>
      </w:r>
      <w:r w:rsidR="001131AB" w:rsidRPr="00EF2C3F">
        <w:rPr>
          <w:vertAlign w:val="superscript"/>
        </w:rPr>
        <w:t>3</w:t>
      </w:r>
      <w:r w:rsidR="00DE639D" w:rsidRPr="00EF2C3F">
        <w:t>) for a 24-</w:t>
      </w:r>
      <w:r w:rsidR="00A7796C" w:rsidRPr="00EF2C3F">
        <w:t>hour period and</w:t>
      </w:r>
      <w:r w:rsidRPr="00EF2C3F">
        <w:t xml:space="preserve"> is met when the 98</w:t>
      </w:r>
      <w:r w:rsidRPr="00EF2C3F">
        <w:rPr>
          <w:vertAlign w:val="superscript"/>
        </w:rPr>
        <w:t>th</w:t>
      </w:r>
      <w:r w:rsidRPr="00EF2C3F">
        <w:t xml:space="preserve"> percentile 24-hr concentration is less than or equal to 35</w:t>
      </w:r>
      <w:r w:rsidR="0016479E" w:rsidRPr="0016479E">
        <w:t xml:space="preserve"> </w:t>
      </w:r>
      <w:r w:rsidR="0016479E">
        <w:t>µ</w:t>
      </w:r>
      <w:r w:rsidR="0016479E" w:rsidRPr="00EF2C3F">
        <w:t>g</w:t>
      </w:r>
      <w:r w:rsidRPr="00EF2C3F">
        <w:t>/</w:t>
      </w:r>
      <w:r w:rsidR="001131AB" w:rsidRPr="00EF2C3F">
        <w:t>m</w:t>
      </w:r>
      <w:r w:rsidR="001131AB" w:rsidRPr="00EF2C3F">
        <w:rPr>
          <w:vertAlign w:val="superscript"/>
        </w:rPr>
        <w:t>3</w:t>
      </w:r>
      <w:r w:rsidRPr="00EF2C3F">
        <w:t>.</w:t>
      </w:r>
      <w:r w:rsidR="00D538E3" w:rsidRPr="00EF2C3F">
        <w:t xml:space="preserve"> Each year’s 98</w:t>
      </w:r>
      <w:r w:rsidR="00D538E3" w:rsidRPr="00DC17F9">
        <w:rPr>
          <w:vertAlign w:val="superscript"/>
        </w:rPr>
        <w:t>th</w:t>
      </w:r>
      <w:r w:rsidR="00D538E3" w:rsidRPr="00EF2C3F">
        <w:t xml:space="preserve"> percentile is the daily value beneath which 98% of all daily values would fall.</w:t>
      </w:r>
      <w:r w:rsidRPr="00EF2C3F">
        <w:t xml:space="preserve"> </w:t>
      </w:r>
      <w:r w:rsidR="00510745" w:rsidRPr="00EF2C3F">
        <w:t xml:space="preserve">The procedure for evaluating </w:t>
      </w:r>
      <w:r w:rsidR="00DE639D" w:rsidRPr="00EF2C3F">
        <w:t>PM</w:t>
      </w:r>
      <w:r w:rsidR="00DE639D" w:rsidRPr="00EF2C3F">
        <w:rPr>
          <w:vertAlign w:val="subscript"/>
        </w:rPr>
        <w:t>2.5</w:t>
      </w:r>
      <w:r w:rsidR="00DE639D" w:rsidRPr="00EF2C3F">
        <w:t xml:space="preserve"> </w:t>
      </w:r>
      <w:r w:rsidR="00510745" w:rsidRPr="00EF2C3F">
        <w:t>data with respect to the NAA</w:t>
      </w:r>
      <w:r w:rsidR="00A7796C" w:rsidRPr="00EF2C3F">
        <w:t>QS is specified in Appendix N of</w:t>
      </w:r>
      <w:r w:rsidR="006E6840" w:rsidRPr="00EF2C3F">
        <w:t xml:space="preserve"> 40 CFR Part 50. </w:t>
      </w:r>
      <w:r w:rsidR="002C069F" w:rsidRPr="00EF2C3F">
        <w:t>Generally speaking, the 24-hr</w:t>
      </w:r>
      <w:r w:rsidR="007F7988" w:rsidRPr="00EF2C3F">
        <w:t xml:space="preserve"> PM</w:t>
      </w:r>
      <w:r w:rsidR="007F7988" w:rsidRPr="00EF2C3F">
        <w:rPr>
          <w:vertAlign w:val="subscript"/>
        </w:rPr>
        <w:t>2.5</w:t>
      </w:r>
      <w:r w:rsidR="007F7988" w:rsidRPr="00EF2C3F">
        <w:t xml:space="preserve"> standard is met when a three-year average of 98</w:t>
      </w:r>
      <w:r w:rsidR="007F7988" w:rsidRPr="00EF2C3F">
        <w:rPr>
          <w:vertAlign w:val="superscript"/>
        </w:rPr>
        <w:t>th</w:t>
      </w:r>
      <w:r w:rsidR="007F7988" w:rsidRPr="00EF2C3F">
        <w:t xml:space="preserve"> percentile values is less than or equal to 35 µg/m</w:t>
      </w:r>
      <w:r w:rsidR="007F7988" w:rsidRPr="00EF2C3F">
        <w:rPr>
          <w:vertAlign w:val="superscript"/>
        </w:rPr>
        <w:t>3</w:t>
      </w:r>
      <w:r w:rsidR="007F7988" w:rsidRPr="00EF2C3F">
        <w:t xml:space="preserve">.  </w:t>
      </w:r>
    </w:p>
    <w:p w14:paraId="31F5EDFD" w14:textId="77777777" w:rsidR="00A14EBF" w:rsidRPr="00EF2C3F" w:rsidRDefault="00A14EBF" w:rsidP="00E875DA">
      <w:r w:rsidRPr="00EF2C3F">
        <w:t>PM</w:t>
      </w:r>
      <w:r w:rsidRPr="00EF2C3F">
        <w:rPr>
          <w:vertAlign w:val="subscript"/>
        </w:rPr>
        <w:t>2.5</w:t>
      </w:r>
      <w:r w:rsidR="00D04A9D" w:rsidRPr="00EF2C3F">
        <w:t xml:space="preserve"> has been monitored in Utah</w:t>
      </w:r>
      <w:r w:rsidRPr="00EF2C3F">
        <w:t xml:space="preserve"> since 2000, followin</w:t>
      </w:r>
      <w:r w:rsidR="00C93E26" w:rsidRPr="00EF2C3F">
        <w:t xml:space="preserve">g the promulgation of the 1997 </w:t>
      </w:r>
      <w:r w:rsidRPr="00EF2C3F">
        <w:t>PM</w:t>
      </w:r>
      <w:r w:rsidRPr="00EF2C3F">
        <w:rPr>
          <w:vertAlign w:val="subscript"/>
        </w:rPr>
        <w:t>2.5</w:t>
      </w:r>
      <w:r w:rsidRPr="00EF2C3F">
        <w:t xml:space="preserve"> NAAQS.</w:t>
      </w:r>
      <w:r w:rsidR="00336283" w:rsidRPr="00EF2C3F">
        <w:t xml:space="preserve"> </w:t>
      </w:r>
      <w:r w:rsidR="00B0792D">
        <w:t>U</w:t>
      </w:r>
      <w:r w:rsidRPr="00EF2C3F">
        <w:t>DAQ’s monitors are appropriately located to assess concentration, trends, and changes in PM</w:t>
      </w:r>
      <w:r w:rsidRPr="00EF2C3F">
        <w:rPr>
          <w:vertAlign w:val="subscript"/>
        </w:rPr>
        <w:t>2.5</w:t>
      </w:r>
      <w:r w:rsidR="00336283" w:rsidRPr="00EF2C3F">
        <w:t xml:space="preserve"> concentrations. </w:t>
      </w:r>
      <w:r w:rsidRPr="00EF2C3F">
        <w:t>During Utah’s wintertime t</w:t>
      </w:r>
      <w:r w:rsidR="00F462C8" w:rsidRPr="00EF2C3F">
        <w:t>emperature inversions, daily</w:t>
      </w:r>
      <w:r w:rsidRPr="00EF2C3F">
        <w:t xml:space="preserve"> sampling and</w:t>
      </w:r>
      <w:r w:rsidR="00D04A9D" w:rsidRPr="00EF2C3F">
        <w:t xml:space="preserve"> real time monitoring are necessary for both</w:t>
      </w:r>
      <w:r w:rsidRPr="00EF2C3F">
        <w:t xml:space="preserve"> public notification</w:t>
      </w:r>
      <w:r w:rsidR="00D04A9D" w:rsidRPr="00EF2C3F">
        <w:t xml:space="preserve"> and to provide data for the air quality models</w:t>
      </w:r>
      <w:r w:rsidRPr="00EF2C3F">
        <w:t xml:space="preserve">.  </w:t>
      </w:r>
    </w:p>
    <w:p w14:paraId="3C6261F8" w14:textId="77777777" w:rsidR="00595EE6" w:rsidRDefault="00A14EBF" w:rsidP="00021A84">
      <w:r w:rsidRPr="00EF2C3F">
        <w:t xml:space="preserve">The </w:t>
      </w:r>
      <w:r w:rsidR="00383724">
        <w:t xml:space="preserve">UDAQ </w:t>
      </w:r>
      <w:r w:rsidRPr="00EF2C3F">
        <w:t xml:space="preserve">Air Monitoring Section maintains an </w:t>
      </w:r>
      <w:r w:rsidRPr="00500D1A">
        <w:t xml:space="preserve">ambient air monitoring network in Utah </w:t>
      </w:r>
      <w:r w:rsidR="00215EB0">
        <w:t xml:space="preserve">in </w:t>
      </w:r>
      <w:r w:rsidR="00132CF8" w:rsidRPr="00500D1A">
        <w:rPr>
          <w:rFonts w:eastAsia="Times New Roman"/>
        </w:rPr>
        <w:t xml:space="preserve">accordance with 40 CFR 58 </w:t>
      </w:r>
      <w:r w:rsidRPr="00500D1A">
        <w:t xml:space="preserve">that collects both air quality and meteorological data.  </w:t>
      </w:r>
      <w:r w:rsidR="00930C14">
        <w:t xml:space="preserve">Figure </w:t>
      </w:r>
      <w:r w:rsidR="00930C14" w:rsidRPr="00BC79C4">
        <w:rPr>
          <w:color w:val="00B050"/>
        </w:rPr>
        <w:t>IX.A.</w:t>
      </w:r>
      <w:r w:rsidR="00BC79C4" w:rsidRPr="00BC79C4">
        <w:rPr>
          <w:color w:val="00B050"/>
        </w:rPr>
        <w:t>27</w:t>
      </w:r>
      <w:r w:rsidR="00500D1A" w:rsidRPr="00BC79C4">
        <w:rPr>
          <w:color w:val="00B050"/>
        </w:rPr>
        <w:t>.1</w:t>
      </w:r>
      <w:r w:rsidRPr="00500D1A">
        <w:t xml:space="preserve"> </w:t>
      </w:r>
      <w:r w:rsidR="00DE56A4">
        <w:t xml:space="preserve">on the following page </w:t>
      </w:r>
      <w:r w:rsidRPr="00500D1A">
        <w:t>shows the location of sites along the Wasatch Front and in the Cache Valley that collect PM</w:t>
      </w:r>
      <w:r w:rsidRPr="00500D1A">
        <w:rPr>
          <w:vertAlign w:val="subscript"/>
        </w:rPr>
        <w:t>2.5</w:t>
      </w:r>
      <w:r w:rsidRPr="00500D1A">
        <w:t xml:space="preserve"> data.</w:t>
      </w:r>
      <w:r w:rsidR="00F9305A" w:rsidRPr="00500D1A">
        <w:t xml:space="preserve"> </w:t>
      </w:r>
      <w:r w:rsidRPr="00500D1A">
        <w:t xml:space="preserve">The ambient air quality monitoring network along Utah’s Wasatch Front and in the Cache Valley is routinely </w:t>
      </w:r>
      <w:r w:rsidRPr="00EF2C3F">
        <w:t>audited by the EPA, and meets the agency’s requirements for air monitoring networks.</w:t>
      </w:r>
    </w:p>
    <w:p w14:paraId="0A4F905C" w14:textId="6F3AC347" w:rsidR="00F00B23" w:rsidRDefault="009D6135" w:rsidP="00DC17F9">
      <w:pPr>
        <w:jc w:val="center"/>
      </w:pPr>
      <w:r>
        <w:rPr>
          <w:noProof/>
        </w:rPr>
        <w:drawing>
          <wp:inline distT="0" distB="0" distL="0" distR="0" wp14:anchorId="099D10C7" wp14:editId="6CFA45E5">
            <wp:extent cx="4916849" cy="6672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_PM2.5SIPmonitors_v6.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35495" cy="6698248"/>
                    </a:xfrm>
                    <a:prstGeom prst="rect">
                      <a:avLst/>
                    </a:prstGeom>
                  </pic:spPr>
                </pic:pic>
              </a:graphicData>
            </a:graphic>
          </wp:inline>
        </w:drawing>
      </w:r>
    </w:p>
    <w:p w14:paraId="51C6FA2B" w14:textId="520D2283" w:rsidR="00F00B23" w:rsidRPr="00271BB4" w:rsidRDefault="00F00B23" w:rsidP="00F00B23">
      <w:pPr>
        <w:pStyle w:val="Caption"/>
      </w:pPr>
      <w:bookmarkStart w:id="9" w:name="_Toc17201287"/>
      <w:r>
        <w:t xml:space="preserve">Figure IX.A.27. </w:t>
      </w:r>
      <w:fldSimple w:instr=" SEQ Figure_IX.A.27. \* ARABIC ">
        <w:r w:rsidR="00C012A9">
          <w:rPr>
            <w:noProof/>
          </w:rPr>
          <w:t>1</w:t>
        </w:r>
      </w:fldSimple>
      <w:r>
        <w:t xml:space="preserve"> </w:t>
      </w:r>
      <w:r w:rsidRPr="00271BB4">
        <w:t>Utah's PM</w:t>
      </w:r>
      <w:r w:rsidRPr="00271BB4">
        <w:rPr>
          <w:vertAlign w:val="subscript"/>
        </w:rPr>
        <w:t xml:space="preserve">2.5 </w:t>
      </w:r>
      <w:r w:rsidRPr="00271BB4">
        <w:t>Air Monitoring Network</w:t>
      </w:r>
      <w:bookmarkEnd w:id="9"/>
    </w:p>
    <w:p w14:paraId="0088902F" w14:textId="77777777" w:rsidR="00BD58F6" w:rsidRPr="00BD58F6" w:rsidRDefault="00BD58F6" w:rsidP="00BD58F6"/>
    <w:p w14:paraId="2625C664" w14:textId="39C6C5CB" w:rsidR="00271BB4" w:rsidRPr="00720CE8" w:rsidRDefault="00271BB4" w:rsidP="00271BB4">
      <w:pPr>
        <w:rPr>
          <w:rFonts w:cs="Times New Roman"/>
          <w:color w:val="0070C0"/>
        </w:rPr>
      </w:pPr>
      <w:r w:rsidRPr="00D43082">
        <w:t>Table IX.A.</w:t>
      </w:r>
      <w:r>
        <w:t>27</w:t>
      </w:r>
      <w:r w:rsidRPr="00D43082">
        <w:t>.2 below shows the 98</w:t>
      </w:r>
      <w:r w:rsidRPr="00D43082">
        <w:rPr>
          <w:vertAlign w:val="superscript"/>
        </w:rPr>
        <w:t>th</w:t>
      </w:r>
      <w:r w:rsidRPr="00D43082">
        <w:t xml:space="preserve"> percentile values </w:t>
      </w:r>
      <w:r w:rsidR="009E7E46">
        <w:t>in µ</w:t>
      </w:r>
      <w:r w:rsidR="009E7E46" w:rsidRPr="00EF2C3F">
        <w:t>g /m</w:t>
      </w:r>
      <w:r w:rsidR="009E7E46" w:rsidRPr="001131AB">
        <w:rPr>
          <w:vertAlign w:val="superscript"/>
        </w:rPr>
        <w:t>3</w:t>
      </w:r>
      <w:r w:rsidR="009E7E46">
        <w:rPr>
          <w:vertAlign w:val="superscript"/>
        </w:rPr>
        <w:t xml:space="preserve"> </w:t>
      </w:r>
      <w:r w:rsidRPr="00D43082">
        <w:t xml:space="preserve">for </w:t>
      </w:r>
      <w:r w:rsidRPr="00720CE8">
        <w:rPr>
          <w:color w:val="00B050"/>
        </w:rPr>
        <w:t xml:space="preserve">2015, </w:t>
      </w:r>
      <w:r w:rsidRPr="00720CE8">
        <w:rPr>
          <w:rFonts w:cs="Times New Roman"/>
          <w:color w:val="00B050"/>
        </w:rPr>
        <w:t>2016, and 2017</w:t>
      </w:r>
      <w:r>
        <w:rPr>
          <w:rFonts w:cs="Times New Roman"/>
          <w:color w:val="0070C0"/>
        </w:rPr>
        <w:t xml:space="preserve"> </w:t>
      </w:r>
      <w:r>
        <w:t>as well as the three</w:t>
      </w:r>
      <w:r w:rsidRPr="00D43082">
        <w:t>-year average of these values</w:t>
      </w:r>
      <w:r w:rsidR="009B529D">
        <w:t xml:space="preserve">. </w:t>
      </w:r>
      <w:r w:rsidRPr="00720CE8">
        <w:rPr>
          <w:rFonts w:cs="Times New Roman"/>
          <w:color w:val="00B050"/>
        </w:rPr>
        <w:t xml:space="preserve">The three-year average, or design value from 2015-2017 </w:t>
      </w:r>
      <w:r w:rsidR="00AC5D1D">
        <w:rPr>
          <w:rFonts w:cs="Times New Roman"/>
          <w:color w:val="00B050"/>
        </w:rPr>
        <w:t>was</w:t>
      </w:r>
      <w:r w:rsidRPr="00720CE8">
        <w:rPr>
          <w:rFonts w:cs="Times New Roman"/>
          <w:color w:val="00B050"/>
        </w:rPr>
        <w:t xml:space="preserve"> used by EPA in their fin</w:t>
      </w:r>
      <w:r w:rsidR="00C07F44">
        <w:rPr>
          <w:rFonts w:cs="Times New Roman"/>
          <w:color w:val="00B050"/>
        </w:rPr>
        <w:t>al clean data determination</w:t>
      </w:r>
      <w:r w:rsidRPr="00720CE8">
        <w:rPr>
          <w:rFonts w:cs="Times New Roman"/>
          <w:color w:val="00B050"/>
        </w:rPr>
        <w:t xml:space="preserve"> for the </w:t>
      </w:r>
      <w:r w:rsidR="00CD3064">
        <w:rPr>
          <w:rFonts w:cs="Times New Roman"/>
          <w:color w:val="00B050"/>
        </w:rPr>
        <w:t>Provo</w:t>
      </w:r>
      <w:r w:rsidRPr="00720CE8">
        <w:rPr>
          <w:rFonts w:cs="Times New Roman"/>
          <w:color w:val="00B050"/>
        </w:rPr>
        <w:t xml:space="preserve"> NAA (84 FR 14267). </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878"/>
        <w:gridCol w:w="1865"/>
        <w:gridCol w:w="1865"/>
        <w:gridCol w:w="1865"/>
        <w:gridCol w:w="1887"/>
      </w:tblGrid>
      <w:tr w:rsidR="00271BB4" w:rsidRPr="00CE6C45" w14:paraId="373BFA53" w14:textId="77777777" w:rsidTr="00AA0F11">
        <w:tc>
          <w:tcPr>
            <w:tcW w:w="1915" w:type="dxa"/>
          </w:tcPr>
          <w:p w14:paraId="1238A3BA"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Location</w:t>
            </w:r>
          </w:p>
        </w:tc>
        <w:tc>
          <w:tcPr>
            <w:tcW w:w="1915" w:type="dxa"/>
          </w:tcPr>
          <w:p w14:paraId="21EDCF4B"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2015</w:t>
            </w:r>
          </w:p>
        </w:tc>
        <w:tc>
          <w:tcPr>
            <w:tcW w:w="1915" w:type="dxa"/>
          </w:tcPr>
          <w:p w14:paraId="3B3636FB"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2016</w:t>
            </w:r>
          </w:p>
        </w:tc>
        <w:tc>
          <w:tcPr>
            <w:tcW w:w="1915" w:type="dxa"/>
          </w:tcPr>
          <w:p w14:paraId="29E800A5"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2017</w:t>
            </w:r>
          </w:p>
        </w:tc>
        <w:tc>
          <w:tcPr>
            <w:tcW w:w="1916" w:type="dxa"/>
          </w:tcPr>
          <w:p w14:paraId="446D7C07"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3-Year Average of 98</w:t>
            </w:r>
            <w:r w:rsidRPr="00CE6C45">
              <w:rPr>
                <w:rFonts w:ascii="Arial" w:hAnsi="Arial" w:cs="Arial"/>
                <w:color w:val="00B050"/>
                <w:sz w:val="20"/>
                <w:szCs w:val="20"/>
                <w:vertAlign w:val="superscript"/>
              </w:rPr>
              <w:t>th</w:t>
            </w:r>
            <w:r w:rsidRPr="00CE6C45">
              <w:rPr>
                <w:rFonts w:ascii="Arial" w:hAnsi="Arial" w:cs="Arial"/>
                <w:color w:val="00B050"/>
                <w:sz w:val="20"/>
                <w:szCs w:val="20"/>
              </w:rPr>
              <w:t xml:space="preserve"> percentiles</w:t>
            </w:r>
          </w:p>
        </w:tc>
      </w:tr>
      <w:tr w:rsidR="00271BB4" w:rsidRPr="00CE6C45" w14:paraId="4121C40F" w14:textId="77777777" w:rsidTr="00AA0F11">
        <w:tc>
          <w:tcPr>
            <w:tcW w:w="1915" w:type="dxa"/>
          </w:tcPr>
          <w:p w14:paraId="12FF1D91"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North Provo</w:t>
            </w:r>
          </w:p>
        </w:tc>
        <w:tc>
          <w:tcPr>
            <w:tcW w:w="1915" w:type="dxa"/>
          </w:tcPr>
          <w:p w14:paraId="601E0E3A" w14:textId="7866F8F9"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25.0</w:t>
            </w:r>
          </w:p>
        </w:tc>
        <w:tc>
          <w:tcPr>
            <w:tcW w:w="1915" w:type="dxa"/>
          </w:tcPr>
          <w:p w14:paraId="7C14BD01"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36.6</w:t>
            </w:r>
          </w:p>
        </w:tc>
        <w:tc>
          <w:tcPr>
            <w:tcW w:w="1915" w:type="dxa"/>
          </w:tcPr>
          <w:p w14:paraId="42A3CBD2"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21.9</w:t>
            </w:r>
          </w:p>
        </w:tc>
        <w:tc>
          <w:tcPr>
            <w:tcW w:w="1916" w:type="dxa"/>
          </w:tcPr>
          <w:p w14:paraId="20CF05E4"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27.8</w:t>
            </w:r>
          </w:p>
        </w:tc>
      </w:tr>
      <w:tr w:rsidR="00271BB4" w:rsidRPr="00CE6C45" w14:paraId="3DCCDB8A" w14:textId="77777777" w:rsidTr="00AA0F11">
        <w:tc>
          <w:tcPr>
            <w:tcW w:w="1915" w:type="dxa"/>
          </w:tcPr>
          <w:p w14:paraId="476B512F"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Lindon</w:t>
            </w:r>
          </w:p>
        </w:tc>
        <w:tc>
          <w:tcPr>
            <w:tcW w:w="1915" w:type="dxa"/>
          </w:tcPr>
          <w:p w14:paraId="7B165AD4"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27.3</w:t>
            </w:r>
          </w:p>
        </w:tc>
        <w:tc>
          <w:tcPr>
            <w:tcW w:w="1915" w:type="dxa"/>
          </w:tcPr>
          <w:p w14:paraId="23A7604B"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36.3</w:t>
            </w:r>
          </w:p>
        </w:tc>
        <w:tc>
          <w:tcPr>
            <w:tcW w:w="1915" w:type="dxa"/>
          </w:tcPr>
          <w:p w14:paraId="6725D8AA"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28.9</w:t>
            </w:r>
          </w:p>
        </w:tc>
        <w:tc>
          <w:tcPr>
            <w:tcW w:w="1916" w:type="dxa"/>
          </w:tcPr>
          <w:p w14:paraId="31F5CD2C"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30.8</w:t>
            </w:r>
          </w:p>
        </w:tc>
      </w:tr>
      <w:tr w:rsidR="00271BB4" w:rsidRPr="00CE6C45" w14:paraId="4603978B" w14:textId="77777777" w:rsidTr="00AA0F11">
        <w:tc>
          <w:tcPr>
            <w:tcW w:w="1915" w:type="dxa"/>
          </w:tcPr>
          <w:p w14:paraId="770F0CB4"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Spanish Fork</w:t>
            </w:r>
          </w:p>
        </w:tc>
        <w:tc>
          <w:tcPr>
            <w:tcW w:w="1915" w:type="dxa"/>
          </w:tcPr>
          <w:p w14:paraId="176751D9"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28.1</w:t>
            </w:r>
          </w:p>
        </w:tc>
        <w:tc>
          <w:tcPr>
            <w:tcW w:w="1915" w:type="dxa"/>
          </w:tcPr>
          <w:p w14:paraId="71BBC06E"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29.2</w:t>
            </w:r>
          </w:p>
        </w:tc>
        <w:tc>
          <w:tcPr>
            <w:tcW w:w="1915" w:type="dxa"/>
          </w:tcPr>
          <w:p w14:paraId="4AD22A8E" w14:textId="77777777" w:rsidR="00271BB4" w:rsidRPr="00CE6C45" w:rsidRDefault="00271BB4" w:rsidP="00AA0F11">
            <w:pPr>
              <w:rPr>
                <w:rFonts w:ascii="Arial" w:hAnsi="Arial" w:cs="Arial"/>
                <w:color w:val="00B050"/>
                <w:sz w:val="20"/>
                <w:szCs w:val="20"/>
              </w:rPr>
            </w:pPr>
            <w:r w:rsidRPr="00CE6C45">
              <w:rPr>
                <w:rFonts w:ascii="Arial" w:hAnsi="Arial" w:cs="Arial"/>
                <w:color w:val="00B050"/>
                <w:sz w:val="20"/>
                <w:szCs w:val="20"/>
              </w:rPr>
              <w:t>27.6</w:t>
            </w:r>
          </w:p>
        </w:tc>
        <w:tc>
          <w:tcPr>
            <w:tcW w:w="1916" w:type="dxa"/>
          </w:tcPr>
          <w:p w14:paraId="7BB76751" w14:textId="77777777" w:rsidR="00271BB4" w:rsidRPr="00CE6C45" w:rsidRDefault="00271BB4" w:rsidP="005C258A">
            <w:pPr>
              <w:keepNext/>
              <w:rPr>
                <w:rFonts w:ascii="Arial" w:hAnsi="Arial" w:cs="Arial"/>
                <w:color w:val="00B050"/>
                <w:sz w:val="20"/>
                <w:szCs w:val="20"/>
              </w:rPr>
            </w:pPr>
            <w:r w:rsidRPr="00CE6C45">
              <w:rPr>
                <w:rFonts w:ascii="Arial" w:hAnsi="Arial" w:cs="Arial"/>
                <w:color w:val="00B050"/>
                <w:sz w:val="20"/>
                <w:szCs w:val="20"/>
              </w:rPr>
              <w:t>28.3</w:t>
            </w:r>
          </w:p>
        </w:tc>
      </w:tr>
    </w:tbl>
    <w:p w14:paraId="435A4D61" w14:textId="2B89BF51" w:rsidR="005C258A" w:rsidRPr="00D93F97" w:rsidRDefault="005C258A" w:rsidP="005C258A">
      <w:pPr>
        <w:pStyle w:val="Caption"/>
      </w:pPr>
      <w:bookmarkStart w:id="10" w:name="_Toc17201276"/>
      <w:bookmarkStart w:id="11" w:name="_Toc10186275"/>
      <w:bookmarkStart w:id="12" w:name="_Toc12006315"/>
      <w:bookmarkStart w:id="13" w:name="_Toc15906989"/>
      <w:r>
        <w:t xml:space="preserve">Table IX.A.27. </w:t>
      </w:r>
      <w:fldSimple w:instr=" SEQ Table_IX.A.27. \* ARABIC ">
        <w:r w:rsidR="00C012A9">
          <w:rPr>
            <w:noProof/>
          </w:rPr>
          <w:t>2</w:t>
        </w:r>
      </w:fldSimple>
      <w:r w:rsidRPr="005C258A">
        <w:t xml:space="preserve"> </w:t>
      </w:r>
      <w:r w:rsidRPr="00D93F97">
        <w:t>Monitored Ambient 24-hr</w:t>
      </w:r>
      <w:r>
        <w:t xml:space="preserve"> PM</w:t>
      </w:r>
      <w:r w:rsidR="006C7AA8">
        <w:rPr>
          <w:vertAlign w:val="subscript"/>
        </w:rPr>
        <w:t>2.5</w:t>
      </w:r>
      <w:r>
        <w:t xml:space="preserve"> Data</w:t>
      </w:r>
      <w:bookmarkEnd w:id="10"/>
    </w:p>
    <w:p w14:paraId="3507FEC3" w14:textId="77777777" w:rsidR="004C1422" w:rsidRDefault="004C1422" w:rsidP="00087E00">
      <w:pPr>
        <w:pStyle w:val="Heading4"/>
      </w:pPr>
      <w:bookmarkStart w:id="14" w:name="_Toc17201187"/>
      <w:bookmarkEnd w:id="11"/>
      <w:bookmarkEnd w:id="12"/>
      <w:bookmarkEnd w:id="13"/>
      <w:r w:rsidRPr="0010411E">
        <w:t>Modeling Element</w:t>
      </w:r>
      <w:bookmarkEnd w:id="14"/>
      <w:r w:rsidRPr="0010411E">
        <w:t xml:space="preserve"> </w:t>
      </w:r>
    </w:p>
    <w:p w14:paraId="0EC55E74" w14:textId="01E8F075" w:rsidR="000E6363" w:rsidRPr="00872D6C" w:rsidRDefault="000E6363" w:rsidP="00E875DA">
      <w:r w:rsidRPr="00872D6C">
        <w:t>EPA guidance</w:t>
      </w:r>
      <w:r w:rsidR="004730A7">
        <w:rPr>
          <w:rStyle w:val="FootnoteReference"/>
        </w:rPr>
        <w:footnoteReference w:id="4"/>
      </w:r>
      <w:r w:rsidRPr="00872D6C">
        <w:t xml:space="preserve"> concerning </w:t>
      </w:r>
      <w:proofErr w:type="spellStart"/>
      <w:r w:rsidRPr="00872D6C">
        <w:t>redesignation</w:t>
      </w:r>
      <w:proofErr w:type="spellEnd"/>
      <w:r w:rsidRPr="00872D6C">
        <w:t xml:space="preserve"> </w:t>
      </w:r>
      <w:r w:rsidR="00D3035C">
        <w:t xml:space="preserve">requests and maintenance plans </w:t>
      </w:r>
      <w:r w:rsidRPr="00872D6C">
        <w:t>discusses the requirement that the</w:t>
      </w:r>
      <w:r w:rsidR="008115C9">
        <w:t xml:space="preserve"> area has attained the standard</w:t>
      </w:r>
      <w:r w:rsidRPr="00872D6C">
        <w:t xml:space="preserve"> and notes that air quality modeling may be necessary to determine the representativeness of the monitored data. </w:t>
      </w:r>
      <w:r w:rsidR="00375D1A">
        <w:t>A</w:t>
      </w:r>
      <w:r w:rsidRPr="00872D6C">
        <w:t xml:space="preserve">reas that were designated nonattainment based on modeling will generally not be </w:t>
      </w:r>
      <w:proofErr w:type="spellStart"/>
      <w:r w:rsidRPr="00872D6C">
        <w:t>redesignated</w:t>
      </w:r>
      <w:proofErr w:type="spellEnd"/>
      <w:r w:rsidRPr="00872D6C">
        <w:t xml:space="preserve"> to attainment unless an acceptable modeling analysis indicates attainment. The </w:t>
      </w:r>
      <w:r w:rsidR="009B529D" w:rsidRPr="009B529D">
        <w:rPr>
          <w:rFonts w:eastAsia="Times New Roman" w:cs="Times New Roman"/>
          <w:color w:val="00B050"/>
        </w:rPr>
        <w:t>Provo</w:t>
      </w:r>
      <w:r w:rsidR="00576FFF" w:rsidRPr="009B529D">
        <w:rPr>
          <w:rFonts w:eastAsia="Times New Roman" w:cs="Times New Roman"/>
          <w:color w:val="00B050"/>
        </w:rPr>
        <w:t xml:space="preserve"> NAA</w:t>
      </w:r>
      <w:r w:rsidRPr="0057148D">
        <w:rPr>
          <w:color w:val="E36C0A" w:themeColor="accent6" w:themeShade="BF"/>
        </w:rPr>
        <w:t xml:space="preserve"> </w:t>
      </w:r>
      <w:r w:rsidRPr="00872D6C">
        <w:t>was n</w:t>
      </w:r>
      <w:r w:rsidR="00970160" w:rsidRPr="00872D6C">
        <w:t>ot designated based on modeling; the</w:t>
      </w:r>
      <w:r w:rsidR="002677DB">
        <w:t>refore, additional modeling is not</w:t>
      </w:r>
      <w:r w:rsidR="00970160" w:rsidRPr="00872D6C">
        <w:t xml:space="preserve"> necessary to determine the representativeness of the monitored data.</w:t>
      </w:r>
      <w:r w:rsidR="00B55D54" w:rsidRPr="00872D6C">
        <w:t xml:space="preserve"> </w:t>
      </w:r>
      <w:r w:rsidR="00F1790B" w:rsidRPr="00872D6C">
        <w:t xml:space="preserve">The </w:t>
      </w:r>
      <w:r w:rsidR="009B529D" w:rsidRPr="009B529D">
        <w:rPr>
          <w:rFonts w:eastAsia="Times New Roman" w:cs="Times New Roman"/>
          <w:color w:val="00B050"/>
        </w:rPr>
        <w:t>Provo</w:t>
      </w:r>
      <w:r w:rsidR="00576FFF" w:rsidRPr="009B529D">
        <w:rPr>
          <w:rFonts w:eastAsia="Times New Roman" w:cs="Times New Roman"/>
          <w:color w:val="00B050"/>
        </w:rPr>
        <w:t xml:space="preserve"> NAA</w:t>
      </w:r>
      <w:r w:rsidR="00F1790B" w:rsidRPr="00872D6C">
        <w:t xml:space="preserve"> </w:t>
      </w:r>
      <w:r w:rsidR="00576FFF" w:rsidRPr="009B529D">
        <w:t>clean data determination</w:t>
      </w:r>
      <w:r w:rsidR="00970160" w:rsidRPr="009B529D">
        <w:t xml:space="preserve"> </w:t>
      </w:r>
      <w:r w:rsidR="00921DF0" w:rsidRPr="009B529D">
        <w:t>was</w:t>
      </w:r>
      <w:r w:rsidR="00921DF0">
        <w:t xml:space="preserve"> made</w:t>
      </w:r>
      <w:r w:rsidR="00F1790B" w:rsidRPr="00872D6C">
        <w:t xml:space="preserve"> based on </w:t>
      </w:r>
      <w:r w:rsidR="00952FA4">
        <w:t>validated ambient</w:t>
      </w:r>
      <w:r w:rsidR="00970160" w:rsidRPr="00872D6C">
        <w:t xml:space="preserve"> monitored values. Consequently, </w:t>
      </w:r>
      <w:r w:rsidR="00952FA4">
        <w:t>mode</w:t>
      </w:r>
      <w:r w:rsidR="00F1790B" w:rsidRPr="00872D6C">
        <w:t xml:space="preserve">ling is not necessary to show attainment. </w:t>
      </w:r>
      <w:r w:rsidR="00F1790B" w:rsidRPr="00872D6C">
        <w:rPr>
          <w:color w:val="000000" w:themeColor="text1"/>
        </w:rPr>
        <w:t xml:space="preserve">However, </w:t>
      </w:r>
      <w:r w:rsidRPr="00872D6C">
        <w:rPr>
          <w:color w:val="000000" w:themeColor="text1"/>
        </w:rPr>
        <w:t xml:space="preserve">modeling was conducted for the purpose of this </w:t>
      </w:r>
      <w:r w:rsidRPr="00B01453">
        <w:t>maintenance demo</w:t>
      </w:r>
      <w:r w:rsidRPr="0007711B">
        <w:t>nstration</w:t>
      </w:r>
      <w:r w:rsidR="00F1790B" w:rsidRPr="0007711B">
        <w:t xml:space="preserve"> to show continued compliance</w:t>
      </w:r>
      <w:r w:rsidR="005A5EC6" w:rsidRPr="0007711B">
        <w:t xml:space="preserve"> with the </w:t>
      </w:r>
      <w:r w:rsidR="00AD1106" w:rsidRPr="0007711B">
        <w:t>PM</w:t>
      </w:r>
      <w:r w:rsidR="00AD1106" w:rsidRPr="0007711B">
        <w:rPr>
          <w:vertAlign w:val="subscript"/>
        </w:rPr>
        <w:t xml:space="preserve">2.5 </w:t>
      </w:r>
      <w:r w:rsidRPr="0007711B">
        <w:t xml:space="preserve">NAAQS through the year </w:t>
      </w:r>
      <w:r w:rsidR="00952FA4" w:rsidRPr="0007711B">
        <w:t>2035</w:t>
      </w:r>
      <w:r w:rsidR="00B01453" w:rsidRPr="0007711B">
        <w:t xml:space="preserve"> (see section IX.A.</w:t>
      </w:r>
      <w:r w:rsidR="0007711B" w:rsidRPr="0007711B">
        <w:t>27</w:t>
      </w:r>
      <w:r w:rsidR="00B01453" w:rsidRPr="0007711B">
        <w:t>.c</w:t>
      </w:r>
      <w:r w:rsidR="008D6474" w:rsidRPr="0007711B">
        <w:t>)</w:t>
      </w:r>
      <w:r w:rsidRPr="0007711B">
        <w:t>.</w:t>
      </w:r>
    </w:p>
    <w:p w14:paraId="44C532ED" w14:textId="77777777" w:rsidR="004C1422" w:rsidRPr="00872D6C" w:rsidRDefault="004C1422" w:rsidP="00087E00">
      <w:pPr>
        <w:pStyle w:val="Heading4"/>
      </w:pPr>
      <w:bookmarkStart w:id="15" w:name="_Toc17201188"/>
      <w:r w:rsidRPr="00872D6C">
        <w:t>EPA Acknowledgement</w:t>
      </w:r>
      <w:bookmarkEnd w:id="15"/>
      <w:r w:rsidRPr="00872D6C">
        <w:t xml:space="preserve"> </w:t>
      </w:r>
    </w:p>
    <w:p w14:paraId="2BE4B9E0" w14:textId="5194B9F8" w:rsidR="00E3115B" w:rsidRPr="00872D6C" w:rsidRDefault="001A0C6A" w:rsidP="00E3115B">
      <w:pPr>
        <w:spacing w:after="0" w:line="240" w:lineRule="auto"/>
        <w:rPr>
          <w:rFonts w:cs="Times New Roman"/>
        </w:rPr>
      </w:pPr>
      <w:r w:rsidRPr="00872D6C">
        <w:rPr>
          <w:rFonts w:cs="Times New Roman"/>
        </w:rPr>
        <w:t xml:space="preserve">The data presented in the preceding paragraphs </w:t>
      </w:r>
      <w:r w:rsidR="006F2FDE">
        <w:rPr>
          <w:rFonts w:cs="Times New Roman"/>
        </w:rPr>
        <w:t>demonstrates</w:t>
      </w:r>
      <w:r>
        <w:rPr>
          <w:rFonts w:cs="Times New Roman"/>
        </w:rPr>
        <w:t xml:space="preserve"> that the </w:t>
      </w:r>
      <w:r w:rsidR="00EB1CAA" w:rsidRPr="00EB1CAA">
        <w:rPr>
          <w:rFonts w:cs="Times New Roman"/>
          <w:color w:val="00B050"/>
        </w:rPr>
        <w:t>Provo</w:t>
      </w:r>
      <w:r w:rsidRPr="00EB1CAA">
        <w:rPr>
          <w:rFonts w:cs="Times New Roman"/>
          <w:color w:val="00B050"/>
        </w:rPr>
        <w:t xml:space="preserve"> NAA</w:t>
      </w:r>
      <w:r w:rsidRPr="008716CF">
        <w:rPr>
          <w:rFonts w:cs="Times New Roman"/>
          <w:color w:val="0070C0"/>
        </w:rPr>
        <w:t xml:space="preserve"> </w:t>
      </w:r>
      <w:r w:rsidRPr="00872D6C">
        <w:rPr>
          <w:rFonts w:cs="Times New Roman"/>
        </w:rPr>
        <w:t xml:space="preserve">is attaining the </w:t>
      </w:r>
      <w:r>
        <w:rPr>
          <w:rFonts w:cs="Times New Roman"/>
        </w:rPr>
        <w:t xml:space="preserve">24-hr </w:t>
      </w:r>
      <w:r w:rsidRPr="00EF2C3F">
        <w:rPr>
          <w:rFonts w:cs="Times New Roman"/>
        </w:rPr>
        <w:t>PM</w:t>
      </w:r>
      <w:r w:rsidRPr="00EF2C3F">
        <w:rPr>
          <w:rFonts w:cs="Times New Roman"/>
          <w:vertAlign w:val="subscript"/>
        </w:rPr>
        <w:t>2.5</w:t>
      </w:r>
      <w:r>
        <w:rPr>
          <w:rFonts w:cs="Times New Roman"/>
          <w:vertAlign w:val="subscript"/>
        </w:rPr>
        <w:t xml:space="preserve"> </w:t>
      </w:r>
      <w:r w:rsidRPr="00872D6C">
        <w:rPr>
          <w:rFonts w:cs="Times New Roman"/>
        </w:rPr>
        <w:t xml:space="preserve">NAAQS. </w:t>
      </w:r>
      <w:r w:rsidR="00E3115B" w:rsidRPr="00872D6C">
        <w:rPr>
          <w:rFonts w:cs="Times New Roman"/>
        </w:rPr>
        <w:t xml:space="preserve">On </w:t>
      </w:r>
      <w:r w:rsidR="00E3115B" w:rsidRPr="00472CB8">
        <w:rPr>
          <w:rFonts w:cs="Times New Roman"/>
          <w:color w:val="00B050"/>
        </w:rPr>
        <w:t>April 10, 2019</w:t>
      </w:r>
      <w:r w:rsidR="00E3115B" w:rsidRPr="00872D6C">
        <w:rPr>
          <w:rFonts w:cs="Times New Roman"/>
        </w:rPr>
        <w:t>, EPA published notice in the Federal Register (</w:t>
      </w:r>
      <w:r w:rsidR="00E3115B" w:rsidRPr="00472CB8">
        <w:rPr>
          <w:rFonts w:cs="Times New Roman"/>
          <w:color w:val="00B050"/>
        </w:rPr>
        <w:t>84 FR 14267</w:t>
      </w:r>
      <w:r w:rsidR="00E3115B" w:rsidRPr="00872D6C">
        <w:rPr>
          <w:rFonts w:cs="Times New Roman"/>
        </w:rPr>
        <w:t>) that pursuant to CAA section 199(b)(2), “</w:t>
      </w:r>
      <w:r w:rsidR="00E3115B" w:rsidRPr="00472CB8">
        <w:rPr>
          <w:rFonts w:cs="Times New Roman"/>
          <w:color w:val="00B050"/>
        </w:rPr>
        <w:t>the EPA is finalizing a clean data determination (CDD) for the 2006 24-hour fine particulate matter (PM</w:t>
      </w:r>
      <w:r w:rsidR="00E3115B" w:rsidRPr="00472CB8">
        <w:rPr>
          <w:rFonts w:cs="Times New Roman"/>
          <w:color w:val="00B050"/>
          <w:vertAlign w:val="subscript"/>
        </w:rPr>
        <w:t>2.5</w:t>
      </w:r>
      <w:r w:rsidR="00E3115B" w:rsidRPr="00472CB8">
        <w:rPr>
          <w:rFonts w:cs="Times New Roman"/>
          <w:color w:val="00B050"/>
        </w:rPr>
        <w:t>) Provo, Utah (UT) nonattainment area (NAA)</w:t>
      </w:r>
      <w:r w:rsidR="00E3115B" w:rsidRPr="00872D6C">
        <w:rPr>
          <w:rFonts w:cs="Times New Roman"/>
        </w:rPr>
        <w:t>.</w:t>
      </w:r>
      <w:r w:rsidR="003E5B20">
        <w:rPr>
          <w:rFonts w:cs="Times New Roman"/>
        </w:rPr>
        <w:t>”</w:t>
      </w:r>
      <w:r w:rsidR="00E3115B" w:rsidRPr="00872D6C">
        <w:rPr>
          <w:rFonts w:cs="Times New Roman"/>
        </w:rPr>
        <w:t xml:space="preserve"> This determination was based on quality-assured, </w:t>
      </w:r>
      <w:r w:rsidR="00E3115B">
        <w:rPr>
          <w:rFonts w:cs="Times New Roman"/>
        </w:rPr>
        <w:t>quality-controlled and validated</w:t>
      </w:r>
      <w:r w:rsidR="00E3115B" w:rsidRPr="00872D6C">
        <w:rPr>
          <w:rFonts w:cs="Times New Roman"/>
        </w:rPr>
        <w:t xml:space="preserve"> ambient air monitoring data for </w:t>
      </w:r>
      <w:r w:rsidR="00E3115B" w:rsidRPr="0019652D">
        <w:rPr>
          <w:rFonts w:cs="Times New Roman"/>
          <w:color w:val="00B050"/>
        </w:rPr>
        <w:t>2015-2017</w:t>
      </w:r>
      <w:r w:rsidR="00E3115B" w:rsidRPr="00872D6C">
        <w:rPr>
          <w:rFonts w:cs="Times New Roman"/>
        </w:rPr>
        <w:t xml:space="preserve">. </w:t>
      </w:r>
    </w:p>
    <w:p w14:paraId="0AAE069D" w14:textId="27DB875D" w:rsidR="00110FE7" w:rsidRPr="00872D6C" w:rsidRDefault="00110FE7" w:rsidP="003D5B57">
      <w:pPr>
        <w:spacing w:after="0" w:line="240" w:lineRule="auto"/>
        <w:rPr>
          <w:rFonts w:cs="Times New Roman"/>
        </w:rPr>
      </w:pPr>
    </w:p>
    <w:p w14:paraId="51407E2A" w14:textId="19CC097D" w:rsidR="008A3671" w:rsidRPr="0071377C" w:rsidRDefault="004C1422" w:rsidP="0071377C">
      <w:pPr>
        <w:pStyle w:val="Heading3"/>
      </w:pPr>
      <w:bookmarkStart w:id="16" w:name="_Toc17201189"/>
      <w:r w:rsidRPr="0071377C">
        <w:t>Fully A</w:t>
      </w:r>
      <w:r w:rsidR="00074C41" w:rsidRPr="0071377C">
        <w:t>pproved Attainment Plan for PM</w:t>
      </w:r>
      <w:r w:rsidR="006C7AA8">
        <w:rPr>
          <w:vertAlign w:val="subscript"/>
        </w:rPr>
        <w:t>2.5</w:t>
      </w:r>
      <w:bookmarkEnd w:id="16"/>
      <w:r w:rsidRPr="0071377C">
        <w:t xml:space="preserve"> </w:t>
      </w:r>
    </w:p>
    <w:p w14:paraId="3234F5E3" w14:textId="77777777" w:rsidR="00687A82" w:rsidRPr="00872D6C" w:rsidRDefault="00687A82" w:rsidP="003D5B57">
      <w:pPr>
        <w:spacing w:after="0" w:line="240" w:lineRule="auto"/>
        <w:rPr>
          <w:rFonts w:eastAsia="Times New Roman" w:cs="Times New Roman"/>
        </w:rPr>
      </w:pPr>
      <w:r w:rsidRPr="00872D6C">
        <w:rPr>
          <w:rFonts w:eastAsia="Times New Roman" w:cs="Times New Roman"/>
          <w:i/>
        </w:rPr>
        <w:t xml:space="preserve">CAA 107(d)(3)(E)(ii) - The Administrator has fully approved the applicable implementation plan for the area under section 110(k). </w:t>
      </w:r>
    </w:p>
    <w:p w14:paraId="34C9DD22" w14:textId="77777777" w:rsidR="00687A82" w:rsidRPr="00872D6C" w:rsidRDefault="00687A82" w:rsidP="003D5B57">
      <w:pPr>
        <w:spacing w:after="0" w:line="240" w:lineRule="auto"/>
        <w:rPr>
          <w:rFonts w:eastAsia="Times New Roman" w:cs="Times New Roman"/>
        </w:rPr>
      </w:pPr>
    </w:p>
    <w:p w14:paraId="3F3528C2" w14:textId="06A92B4C" w:rsidR="00072507" w:rsidRPr="001864A7" w:rsidRDefault="00912EB1" w:rsidP="00072507">
      <w:pPr>
        <w:rPr>
          <w:rFonts w:cs="Times New Roman"/>
        </w:rPr>
      </w:pPr>
      <w:r w:rsidRPr="000B082B">
        <w:rPr>
          <w:rFonts w:cs="Times New Roman"/>
        </w:rPr>
        <w:t>Areas designated</w:t>
      </w:r>
      <w:r>
        <w:rPr>
          <w:rFonts w:cs="Times New Roman"/>
        </w:rPr>
        <w:t xml:space="preserve"> as nonattainment that attain the standard prior to the SIP submittal deadline, or prior to an area’s approved attainment date, are eligible for reduced regulatory requirements as described in EPA’s “Clean Data Policy.”</w:t>
      </w:r>
      <w:r>
        <w:rPr>
          <w:rStyle w:val="FootnoteReference"/>
          <w:rFonts w:cs="Times New Roman"/>
        </w:rPr>
        <w:footnoteReference w:id="5"/>
      </w:r>
      <w:r>
        <w:rPr>
          <w:rFonts w:cs="Times New Roman"/>
        </w:rPr>
        <w:t xml:space="preserve"> Under the Clean Data Policy, </w:t>
      </w:r>
      <w:r w:rsidR="00056843">
        <w:rPr>
          <w:rFonts w:cs="Times New Roman"/>
        </w:rPr>
        <w:t xml:space="preserve">the EPA issued </w:t>
      </w:r>
      <w:r>
        <w:rPr>
          <w:rFonts w:cs="Times New Roman"/>
        </w:rPr>
        <w:t>a clean data determination</w:t>
      </w:r>
      <w:r>
        <w:rPr>
          <w:rFonts w:cs="Times New Roman"/>
          <w:color w:val="00B050"/>
        </w:rPr>
        <w:t xml:space="preserve"> </w:t>
      </w:r>
      <w:r w:rsidR="00056843">
        <w:rPr>
          <w:rFonts w:cs="Times New Roman"/>
        </w:rPr>
        <w:t xml:space="preserve">on </w:t>
      </w:r>
      <w:r w:rsidR="006C7221" w:rsidRPr="006C7221">
        <w:rPr>
          <w:rFonts w:cs="Times New Roman"/>
          <w:color w:val="00B050"/>
        </w:rPr>
        <w:t xml:space="preserve">April 10, 2019 (84 FR 14267) </w:t>
      </w:r>
      <w:r w:rsidR="00072507" w:rsidRPr="006C7221">
        <w:rPr>
          <w:rFonts w:cs="Times New Roman"/>
          <w:color w:val="00B050"/>
        </w:rPr>
        <w:t xml:space="preserve">for the </w:t>
      </w:r>
      <w:r>
        <w:rPr>
          <w:rFonts w:cs="Times New Roman"/>
          <w:color w:val="00B050"/>
        </w:rPr>
        <w:t>Provo</w:t>
      </w:r>
      <w:r w:rsidR="00072507" w:rsidRPr="006C7221">
        <w:rPr>
          <w:rFonts w:cs="Times New Roman"/>
          <w:color w:val="00B050"/>
        </w:rPr>
        <w:t xml:space="preserve"> NAA. </w:t>
      </w:r>
      <w:r w:rsidR="00072507" w:rsidRPr="001864A7">
        <w:rPr>
          <w:rFonts w:cs="Times New Roman"/>
        </w:rPr>
        <w:t xml:space="preserve">The approval status of both the </w:t>
      </w:r>
      <w:r w:rsidR="00BD351F">
        <w:rPr>
          <w:rFonts w:cs="Times New Roman"/>
        </w:rPr>
        <w:t>m</w:t>
      </w:r>
      <w:r w:rsidR="00072507" w:rsidRPr="001864A7">
        <w:rPr>
          <w:rFonts w:cs="Times New Roman"/>
        </w:rPr>
        <w:t xml:space="preserve">oderate and </w:t>
      </w:r>
      <w:r w:rsidR="00BD351F">
        <w:rPr>
          <w:rFonts w:cs="Times New Roman"/>
        </w:rPr>
        <w:t>s</w:t>
      </w:r>
      <w:r w:rsidR="00072507" w:rsidRPr="001864A7">
        <w:rPr>
          <w:rFonts w:cs="Times New Roman"/>
        </w:rPr>
        <w:t xml:space="preserve">erious </w:t>
      </w:r>
      <w:r w:rsidR="005C6859" w:rsidRPr="001864A7">
        <w:rPr>
          <w:rFonts w:cs="Times New Roman"/>
        </w:rPr>
        <w:t>Provo</w:t>
      </w:r>
      <w:r w:rsidR="00072507" w:rsidRPr="001864A7">
        <w:rPr>
          <w:rFonts w:cs="Times New Roman"/>
        </w:rPr>
        <w:t xml:space="preserve"> SIP</w:t>
      </w:r>
      <w:r w:rsidR="00F21BAE">
        <w:rPr>
          <w:rFonts w:cs="Times New Roman"/>
        </w:rPr>
        <w:t>s</w:t>
      </w:r>
      <w:r w:rsidR="00072507" w:rsidRPr="001864A7">
        <w:rPr>
          <w:rFonts w:cs="Times New Roman"/>
        </w:rPr>
        <w:t xml:space="preserve"> is dependent on the clean data determination requirements as detailed in 81 CFR 51.1015. For a </w:t>
      </w:r>
      <w:r w:rsidR="004739ED">
        <w:rPr>
          <w:rFonts w:cs="Times New Roman"/>
        </w:rPr>
        <w:t>s</w:t>
      </w:r>
      <w:r w:rsidR="00072507" w:rsidRPr="001864A7">
        <w:rPr>
          <w:rFonts w:cs="Times New Roman"/>
        </w:rPr>
        <w:t>erious PM</w:t>
      </w:r>
      <w:r w:rsidR="00072507" w:rsidRPr="001864A7">
        <w:rPr>
          <w:rFonts w:cs="Times New Roman"/>
          <w:vertAlign w:val="subscript"/>
        </w:rPr>
        <w:t>2.5</w:t>
      </w:r>
      <w:r w:rsidR="00072507" w:rsidRPr="001864A7">
        <w:rPr>
          <w:rFonts w:cs="Times New Roman"/>
        </w:rPr>
        <w:t xml:space="preserve"> nonattainment area, </w:t>
      </w:r>
      <w:r w:rsidR="00755580">
        <w:rPr>
          <w:rFonts w:cs="Times New Roman"/>
        </w:rPr>
        <w:t>a</w:t>
      </w:r>
      <w:r w:rsidR="00072507" w:rsidRPr="001864A7">
        <w:rPr>
          <w:rFonts w:cs="Times New Roman"/>
        </w:rPr>
        <w:t xml:space="preserve"> clean data </w:t>
      </w:r>
      <w:r w:rsidR="00755580">
        <w:rPr>
          <w:rFonts w:cs="Times New Roman"/>
        </w:rPr>
        <w:t>determination</w:t>
      </w:r>
      <w:r w:rsidR="00072507" w:rsidRPr="001864A7">
        <w:rPr>
          <w:rFonts w:cs="Times New Roman"/>
        </w:rPr>
        <w:t xml:space="preserve"> suspends the requirements for the state to submit an attainment demonstration, reasonable further progress (RFP) plans, quantitative milestones, and contingency measures until such time as: (1) </w:t>
      </w:r>
      <w:r w:rsidR="00EC24BC">
        <w:rPr>
          <w:rFonts w:cs="Times New Roman"/>
        </w:rPr>
        <w:t>t</w:t>
      </w:r>
      <w:r w:rsidR="00072507" w:rsidRPr="001864A7">
        <w:rPr>
          <w:rFonts w:cs="Times New Roman"/>
        </w:rPr>
        <w:t xml:space="preserve">he area is </w:t>
      </w:r>
      <w:proofErr w:type="spellStart"/>
      <w:r w:rsidR="00072507" w:rsidRPr="001864A7">
        <w:rPr>
          <w:rFonts w:cs="Times New Roman"/>
        </w:rPr>
        <w:t>redesignated</w:t>
      </w:r>
      <w:proofErr w:type="spellEnd"/>
      <w:r w:rsidR="00072507" w:rsidRPr="001864A7">
        <w:rPr>
          <w:rFonts w:cs="Times New Roman"/>
        </w:rPr>
        <w:t xml:space="preserve"> to attainment, after which such requirements are permanently discharged; or (2) the EPA determines that the area has re-violated the PM</w:t>
      </w:r>
      <w:r w:rsidR="00072507" w:rsidRPr="001864A7">
        <w:rPr>
          <w:rFonts w:cs="Times New Roman"/>
          <w:vertAlign w:val="subscript"/>
        </w:rPr>
        <w:t>2.5</w:t>
      </w:r>
      <w:r w:rsidR="00072507" w:rsidRPr="001864A7">
        <w:rPr>
          <w:rFonts w:cs="Times New Roman"/>
        </w:rPr>
        <w:t xml:space="preserve"> NAAQS, at which time the state shall submit such attainment plan elements for the </w:t>
      </w:r>
      <w:r w:rsidR="004739ED">
        <w:rPr>
          <w:rFonts w:cs="Times New Roman"/>
        </w:rPr>
        <w:t>s</w:t>
      </w:r>
      <w:r w:rsidR="00072507" w:rsidRPr="001864A7">
        <w:rPr>
          <w:rFonts w:cs="Times New Roman"/>
        </w:rPr>
        <w:t>erious nonattainment area by a future date to be determined by the EPA.</w:t>
      </w:r>
      <w:r w:rsidR="005A4B9E" w:rsidRPr="001864A7">
        <w:rPr>
          <w:rFonts w:cs="Times New Roman"/>
        </w:rPr>
        <w:t xml:space="preserve"> Table IX.A.</w:t>
      </w:r>
      <w:r w:rsidR="00726CF0">
        <w:rPr>
          <w:rFonts w:cs="Times New Roman"/>
        </w:rPr>
        <w:t>27</w:t>
      </w:r>
      <w:r w:rsidR="005A4B9E" w:rsidRPr="001864A7">
        <w:rPr>
          <w:rFonts w:cs="Times New Roman"/>
        </w:rPr>
        <w:t>.3 details the EPA SIP approval status.</w:t>
      </w:r>
    </w:p>
    <w:p w14:paraId="761C7607" w14:textId="137E17D4" w:rsidR="0030163C" w:rsidRPr="006044C9" w:rsidRDefault="00912EB1" w:rsidP="0030163C">
      <w:pPr>
        <w:rPr>
          <w:rFonts w:cs="Times New Roman"/>
        </w:rPr>
      </w:pPr>
      <w:r w:rsidRPr="001864A7">
        <w:rPr>
          <w:rFonts w:cs="Times New Roman"/>
        </w:rPr>
        <w:t xml:space="preserve">On February 4, 2019, Utah submitted </w:t>
      </w:r>
      <w:r w:rsidR="00765C2E">
        <w:rPr>
          <w:rFonts w:cs="Times New Roman"/>
        </w:rPr>
        <w:t xml:space="preserve">the required </w:t>
      </w:r>
      <w:r w:rsidR="004739ED">
        <w:rPr>
          <w:rFonts w:cs="Times New Roman"/>
        </w:rPr>
        <w:t>s</w:t>
      </w:r>
      <w:r w:rsidRPr="001864A7">
        <w:rPr>
          <w:rFonts w:cs="Times New Roman"/>
        </w:rPr>
        <w:t>erious SIP elements for the Provo NAA.</w:t>
      </w:r>
      <w:r w:rsidR="00530DF8" w:rsidRPr="001864A7">
        <w:rPr>
          <w:rFonts w:cs="Times New Roman"/>
        </w:rPr>
        <w:t xml:space="preserve"> </w:t>
      </w:r>
      <w:r w:rsidR="0030163C" w:rsidRPr="006044C9">
        <w:rPr>
          <w:rFonts w:cs="Times New Roman"/>
        </w:rPr>
        <w:t xml:space="preserve">Additionally, EPA </w:t>
      </w:r>
      <w:r w:rsidR="0030163C">
        <w:rPr>
          <w:rFonts w:cs="Times New Roman"/>
        </w:rPr>
        <w:t>guidance</w:t>
      </w:r>
      <w:r w:rsidR="0030163C">
        <w:rPr>
          <w:rStyle w:val="FootnoteReference"/>
          <w:rFonts w:cs="Times New Roman"/>
        </w:rPr>
        <w:footnoteReference w:id="6"/>
      </w:r>
      <w:r w:rsidR="0030163C">
        <w:rPr>
          <w:rFonts w:cs="Times New Roman"/>
        </w:rPr>
        <w:t xml:space="preserve"> states that approval action on SIP elements and the </w:t>
      </w:r>
      <w:proofErr w:type="spellStart"/>
      <w:r w:rsidR="0030163C">
        <w:rPr>
          <w:rFonts w:cs="Times New Roman"/>
        </w:rPr>
        <w:t>redesignation</w:t>
      </w:r>
      <w:proofErr w:type="spellEnd"/>
      <w:r w:rsidR="0030163C">
        <w:rPr>
          <w:rFonts w:cs="Times New Roman"/>
        </w:rPr>
        <w:t xml:space="preserve"> request may occur simultaneously. Requirements listed in Table IX.A.27.3 that show pending approval may fall into this category.</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431"/>
        <w:gridCol w:w="2810"/>
        <w:gridCol w:w="3119"/>
      </w:tblGrid>
      <w:tr w:rsidR="005529AA" w14:paraId="5DAE43CC" w14:textId="77777777" w:rsidTr="0064294B">
        <w:trPr>
          <w:trHeight w:val="530"/>
        </w:trPr>
        <w:tc>
          <w:tcPr>
            <w:tcW w:w="3438" w:type="dxa"/>
            <w:shd w:val="clear" w:color="auto" w:fill="D9D9D9" w:themeFill="background1" w:themeFillShade="D9"/>
            <w:vAlign w:val="center"/>
          </w:tcPr>
          <w:p w14:paraId="75697849"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Requirement</w:t>
            </w:r>
          </w:p>
        </w:tc>
        <w:tc>
          <w:tcPr>
            <w:tcW w:w="2814" w:type="dxa"/>
            <w:shd w:val="clear" w:color="auto" w:fill="D9D9D9" w:themeFill="background1" w:themeFillShade="D9"/>
            <w:vAlign w:val="center"/>
          </w:tcPr>
          <w:p w14:paraId="6A38723E"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EPA Action &amp; Date</w:t>
            </w:r>
          </w:p>
        </w:tc>
        <w:tc>
          <w:tcPr>
            <w:tcW w:w="3126" w:type="dxa"/>
            <w:shd w:val="clear" w:color="auto" w:fill="D9D9D9" w:themeFill="background1" w:themeFillShade="D9"/>
            <w:vAlign w:val="center"/>
          </w:tcPr>
          <w:p w14:paraId="128399C1" w14:textId="77777777" w:rsidR="005529AA" w:rsidRPr="00A633B4" w:rsidRDefault="005529AA" w:rsidP="004D6113">
            <w:pPr>
              <w:jc w:val="center"/>
              <w:rPr>
                <w:rFonts w:ascii="Arial" w:hAnsi="Arial" w:cs="Arial"/>
                <w:b/>
                <w:sz w:val="20"/>
                <w:szCs w:val="20"/>
              </w:rPr>
            </w:pPr>
            <w:r w:rsidRPr="00A633B4">
              <w:rPr>
                <w:rFonts w:ascii="Arial" w:hAnsi="Arial" w:cs="Arial"/>
                <w:b/>
                <w:sz w:val="20"/>
                <w:szCs w:val="20"/>
              </w:rPr>
              <w:t>FR Citation</w:t>
            </w:r>
          </w:p>
        </w:tc>
      </w:tr>
      <w:tr w:rsidR="005529AA" w14:paraId="7AA0D261" w14:textId="77777777" w:rsidTr="0064294B">
        <w:trPr>
          <w:trHeight w:val="288"/>
        </w:trPr>
        <w:tc>
          <w:tcPr>
            <w:tcW w:w="3438" w:type="dxa"/>
            <w:vAlign w:val="center"/>
          </w:tcPr>
          <w:p w14:paraId="016BDC47" w14:textId="77777777" w:rsidR="005529AA" w:rsidRPr="0008072D" w:rsidRDefault="00DE3EBD" w:rsidP="00934607">
            <w:pPr>
              <w:rPr>
                <w:rFonts w:ascii="Arial" w:hAnsi="Arial" w:cs="Arial"/>
                <w:sz w:val="20"/>
                <w:szCs w:val="20"/>
              </w:rPr>
            </w:pPr>
            <w:r>
              <w:rPr>
                <w:rFonts w:ascii="Arial" w:hAnsi="Arial" w:cs="Arial"/>
                <w:sz w:val="20"/>
                <w:szCs w:val="20"/>
              </w:rPr>
              <w:t xml:space="preserve">Base </w:t>
            </w:r>
            <w:r w:rsidR="00E43C95">
              <w:rPr>
                <w:rFonts w:ascii="Arial" w:hAnsi="Arial" w:cs="Arial"/>
                <w:sz w:val="20"/>
                <w:szCs w:val="20"/>
              </w:rPr>
              <w:t>Y</w:t>
            </w:r>
            <w:r>
              <w:rPr>
                <w:rFonts w:ascii="Arial" w:hAnsi="Arial" w:cs="Arial"/>
                <w:sz w:val="20"/>
                <w:szCs w:val="20"/>
              </w:rPr>
              <w:t xml:space="preserve">ear and </w:t>
            </w:r>
            <w:r w:rsidR="00E43C95">
              <w:rPr>
                <w:rFonts w:ascii="Arial" w:hAnsi="Arial" w:cs="Arial"/>
                <w:sz w:val="20"/>
                <w:szCs w:val="20"/>
              </w:rPr>
              <w:t>P</w:t>
            </w:r>
            <w:r>
              <w:rPr>
                <w:rFonts w:ascii="Arial" w:hAnsi="Arial" w:cs="Arial"/>
                <w:sz w:val="20"/>
                <w:szCs w:val="20"/>
              </w:rPr>
              <w:t xml:space="preserve">rojection </w:t>
            </w:r>
            <w:r w:rsidR="00E43C95">
              <w:rPr>
                <w:rFonts w:ascii="Arial" w:hAnsi="Arial" w:cs="Arial"/>
                <w:sz w:val="20"/>
                <w:szCs w:val="20"/>
              </w:rPr>
              <w:t>Y</w:t>
            </w:r>
            <w:r>
              <w:rPr>
                <w:rFonts w:ascii="Arial" w:hAnsi="Arial" w:cs="Arial"/>
                <w:sz w:val="20"/>
                <w:szCs w:val="20"/>
              </w:rPr>
              <w:t xml:space="preserve">ear </w:t>
            </w:r>
            <w:r w:rsidR="00E43C95">
              <w:rPr>
                <w:rFonts w:ascii="Arial" w:hAnsi="Arial" w:cs="Arial"/>
                <w:sz w:val="20"/>
                <w:szCs w:val="20"/>
              </w:rPr>
              <w:t>E</w:t>
            </w:r>
            <w:r>
              <w:rPr>
                <w:rFonts w:ascii="Arial" w:hAnsi="Arial" w:cs="Arial"/>
                <w:sz w:val="20"/>
                <w:szCs w:val="20"/>
              </w:rPr>
              <w:t xml:space="preserve">mission </w:t>
            </w:r>
            <w:r w:rsidR="00E43C95">
              <w:rPr>
                <w:rFonts w:ascii="Arial" w:hAnsi="Arial" w:cs="Arial"/>
                <w:sz w:val="20"/>
                <w:szCs w:val="20"/>
              </w:rPr>
              <w:t>I</w:t>
            </w:r>
            <w:r>
              <w:rPr>
                <w:rFonts w:ascii="Arial" w:hAnsi="Arial" w:cs="Arial"/>
                <w:sz w:val="20"/>
                <w:szCs w:val="20"/>
              </w:rPr>
              <w:t>nventories</w:t>
            </w:r>
          </w:p>
        </w:tc>
        <w:tc>
          <w:tcPr>
            <w:tcW w:w="2814" w:type="dxa"/>
            <w:vAlign w:val="center"/>
          </w:tcPr>
          <w:p w14:paraId="21EE4A3D" w14:textId="6B08753B" w:rsidR="005529AA" w:rsidRPr="0008072D" w:rsidRDefault="005529AA" w:rsidP="00934607">
            <w:pPr>
              <w:rPr>
                <w:rFonts w:ascii="Arial" w:hAnsi="Arial" w:cs="Arial"/>
                <w:sz w:val="20"/>
                <w:szCs w:val="20"/>
              </w:rPr>
            </w:pPr>
            <w:r w:rsidRPr="0008072D">
              <w:rPr>
                <w:rFonts w:ascii="Arial" w:hAnsi="Arial" w:cs="Arial"/>
                <w:sz w:val="20"/>
                <w:szCs w:val="20"/>
              </w:rPr>
              <w:t>Appr</w:t>
            </w:r>
            <w:r w:rsidR="00EA2E1D">
              <w:rPr>
                <w:rFonts w:ascii="Arial" w:hAnsi="Arial" w:cs="Arial"/>
                <w:sz w:val="20"/>
                <w:szCs w:val="20"/>
              </w:rPr>
              <w:t>oval Pending</w:t>
            </w:r>
          </w:p>
        </w:tc>
        <w:tc>
          <w:tcPr>
            <w:tcW w:w="3126" w:type="dxa"/>
            <w:vAlign w:val="center"/>
          </w:tcPr>
          <w:p w14:paraId="4DA2D3B6" w14:textId="78CB1474" w:rsidR="005529AA" w:rsidRPr="0008072D" w:rsidRDefault="00EA2E1D" w:rsidP="00934607">
            <w:pPr>
              <w:rPr>
                <w:rFonts w:ascii="Arial" w:hAnsi="Arial" w:cs="Arial"/>
                <w:sz w:val="20"/>
                <w:szCs w:val="20"/>
              </w:rPr>
            </w:pPr>
            <w:r>
              <w:rPr>
                <w:rFonts w:ascii="Arial" w:hAnsi="Arial" w:cs="Arial"/>
                <w:sz w:val="20"/>
                <w:szCs w:val="20"/>
              </w:rPr>
              <w:t>--</w:t>
            </w:r>
          </w:p>
        </w:tc>
      </w:tr>
      <w:tr w:rsidR="006D743A" w14:paraId="0370815F" w14:textId="77777777" w:rsidTr="0064294B">
        <w:trPr>
          <w:trHeight w:val="288"/>
        </w:trPr>
        <w:tc>
          <w:tcPr>
            <w:tcW w:w="3438" w:type="dxa"/>
            <w:vAlign w:val="center"/>
          </w:tcPr>
          <w:p w14:paraId="06B3D2EB" w14:textId="77777777" w:rsidR="006D743A" w:rsidRPr="0008072D" w:rsidRDefault="006D743A" w:rsidP="006D743A">
            <w:pPr>
              <w:rPr>
                <w:rFonts w:ascii="Arial" w:hAnsi="Arial" w:cs="Arial"/>
                <w:sz w:val="20"/>
                <w:szCs w:val="20"/>
              </w:rPr>
            </w:pPr>
            <w:r>
              <w:rPr>
                <w:rFonts w:ascii="Arial" w:hAnsi="Arial" w:cs="Arial"/>
                <w:sz w:val="20"/>
                <w:szCs w:val="20"/>
              </w:rPr>
              <w:t>Modeled Attainment D</w:t>
            </w:r>
            <w:r w:rsidRPr="0008072D">
              <w:rPr>
                <w:rFonts w:ascii="Arial" w:hAnsi="Arial" w:cs="Arial"/>
                <w:sz w:val="20"/>
                <w:szCs w:val="20"/>
              </w:rPr>
              <w:t>emonstration</w:t>
            </w:r>
          </w:p>
        </w:tc>
        <w:tc>
          <w:tcPr>
            <w:tcW w:w="2814" w:type="dxa"/>
            <w:vAlign w:val="center"/>
          </w:tcPr>
          <w:p w14:paraId="3BAF48A1" w14:textId="77777777" w:rsidR="006D743A" w:rsidRDefault="006D743A" w:rsidP="006D743A">
            <w:pPr>
              <w:rPr>
                <w:rFonts w:ascii="Arial" w:hAnsi="Arial" w:cs="Arial"/>
                <w:sz w:val="20"/>
                <w:szCs w:val="20"/>
              </w:rPr>
            </w:pPr>
            <w:r>
              <w:rPr>
                <w:rFonts w:ascii="Arial" w:hAnsi="Arial" w:cs="Arial"/>
                <w:sz w:val="20"/>
                <w:szCs w:val="20"/>
              </w:rPr>
              <w:t>Clean Data Determination</w:t>
            </w:r>
          </w:p>
          <w:p w14:paraId="4E82185C" w14:textId="3B2DE32B" w:rsidR="006D743A" w:rsidRPr="00EA2E1D" w:rsidRDefault="00EA2E1D" w:rsidP="006D743A">
            <w:pPr>
              <w:rPr>
                <w:rFonts w:ascii="Arial" w:hAnsi="Arial" w:cs="Arial"/>
                <w:color w:val="00B050"/>
                <w:sz w:val="20"/>
                <w:szCs w:val="20"/>
              </w:rPr>
            </w:pPr>
            <w:r w:rsidRPr="00EA2E1D">
              <w:rPr>
                <w:rFonts w:ascii="Arial" w:hAnsi="Arial" w:cs="Arial"/>
                <w:color w:val="00B050"/>
                <w:sz w:val="20"/>
                <w:szCs w:val="20"/>
              </w:rPr>
              <w:t>4/10/2019</w:t>
            </w:r>
          </w:p>
        </w:tc>
        <w:tc>
          <w:tcPr>
            <w:tcW w:w="3126" w:type="dxa"/>
            <w:vAlign w:val="center"/>
          </w:tcPr>
          <w:p w14:paraId="6FED7363" w14:textId="4F03B063" w:rsidR="006D743A" w:rsidRPr="00EA2E1D" w:rsidRDefault="00EA2E1D" w:rsidP="006D743A">
            <w:pPr>
              <w:rPr>
                <w:rFonts w:ascii="Arial" w:hAnsi="Arial" w:cs="Arial"/>
                <w:color w:val="00B050"/>
                <w:sz w:val="20"/>
                <w:szCs w:val="20"/>
              </w:rPr>
            </w:pPr>
            <w:r w:rsidRPr="00EA2E1D">
              <w:rPr>
                <w:rFonts w:ascii="Arial" w:hAnsi="Arial" w:cs="Arial"/>
                <w:color w:val="00B050"/>
                <w:sz w:val="20"/>
                <w:szCs w:val="20"/>
              </w:rPr>
              <w:t>84 FR 14267</w:t>
            </w:r>
          </w:p>
        </w:tc>
      </w:tr>
      <w:tr w:rsidR="006D743A" w14:paraId="6648CDFB" w14:textId="77777777" w:rsidTr="0064294B">
        <w:trPr>
          <w:trHeight w:val="288"/>
        </w:trPr>
        <w:tc>
          <w:tcPr>
            <w:tcW w:w="3438" w:type="dxa"/>
            <w:vAlign w:val="center"/>
          </w:tcPr>
          <w:p w14:paraId="0E1FDC47" w14:textId="77777777" w:rsidR="006D743A" w:rsidRPr="0008072D" w:rsidRDefault="006D743A" w:rsidP="006D743A">
            <w:pPr>
              <w:rPr>
                <w:rFonts w:ascii="Arial" w:hAnsi="Arial" w:cs="Arial"/>
                <w:sz w:val="20"/>
                <w:szCs w:val="20"/>
              </w:rPr>
            </w:pPr>
            <w:r>
              <w:rPr>
                <w:rFonts w:ascii="Arial" w:hAnsi="Arial" w:cs="Arial"/>
                <w:sz w:val="20"/>
                <w:szCs w:val="20"/>
              </w:rPr>
              <w:t>B</w:t>
            </w:r>
            <w:r w:rsidRPr="0008072D">
              <w:rPr>
                <w:rFonts w:ascii="Arial" w:hAnsi="Arial" w:cs="Arial"/>
                <w:sz w:val="20"/>
                <w:szCs w:val="20"/>
              </w:rPr>
              <w:t>ACT</w:t>
            </w:r>
          </w:p>
        </w:tc>
        <w:tc>
          <w:tcPr>
            <w:tcW w:w="2814" w:type="dxa"/>
            <w:vAlign w:val="center"/>
          </w:tcPr>
          <w:p w14:paraId="77523D32" w14:textId="624E2C13" w:rsidR="006D743A" w:rsidRPr="0008072D" w:rsidRDefault="006D743A" w:rsidP="006D743A">
            <w:pPr>
              <w:rPr>
                <w:rFonts w:ascii="Arial" w:hAnsi="Arial" w:cs="Arial"/>
                <w:sz w:val="20"/>
                <w:szCs w:val="20"/>
              </w:rPr>
            </w:pPr>
            <w:r w:rsidRPr="0008072D">
              <w:rPr>
                <w:rFonts w:ascii="Arial" w:hAnsi="Arial" w:cs="Arial"/>
                <w:sz w:val="20"/>
                <w:szCs w:val="20"/>
              </w:rPr>
              <w:t>Approv</w:t>
            </w:r>
            <w:r w:rsidR="00D22222">
              <w:rPr>
                <w:rFonts w:ascii="Arial" w:hAnsi="Arial" w:cs="Arial"/>
                <w:sz w:val="20"/>
                <w:szCs w:val="20"/>
              </w:rPr>
              <w:t>al Pending</w:t>
            </w:r>
          </w:p>
        </w:tc>
        <w:tc>
          <w:tcPr>
            <w:tcW w:w="3126" w:type="dxa"/>
            <w:vAlign w:val="center"/>
          </w:tcPr>
          <w:p w14:paraId="2902AA37" w14:textId="3E9559F5" w:rsidR="006D743A" w:rsidRPr="00D22222" w:rsidRDefault="00D22222" w:rsidP="006D743A">
            <w:pPr>
              <w:rPr>
                <w:rFonts w:ascii="Arial" w:hAnsi="Arial" w:cs="Arial"/>
                <w:sz w:val="20"/>
                <w:szCs w:val="20"/>
              </w:rPr>
            </w:pPr>
            <w:r w:rsidRPr="00D22222">
              <w:rPr>
                <w:rFonts w:ascii="Arial" w:hAnsi="Arial" w:cs="Arial"/>
                <w:sz w:val="20"/>
                <w:szCs w:val="20"/>
              </w:rPr>
              <w:t>--</w:t>
            </w:r>
          </w:p>
        </w:tc>
      </w:tr>
      <w:tr w:rsidR="00E56517" w14:paraId="3E6848F1" w14:textId="77777777" w:rsidTr="0064294B">
        <w:trPr>
          <w:trHeight w:val="288"/>
        </w:trPr>
        <w:tc>
          <w:tcPr>
            <w:tcW w:w="3438" w:type="dxa"/>
            <w:vAlign w:val="center"/>
          </w:tcPr>
          <w:p w14:paraId="1212F366" w14:textId="2D07FC3A" w:rsidR="00E56517" w:rsidRPr="00C67AA2" w:rsidRDefault="00E56517" w:rsidP="00E56517">
            <w:pPr>
              <w:rPr>
                <w:rFonts w:ascii="Arial" w:hAnsi="Arial" w:cs="Arial"/>
                <w:sz w:val="20"/>
                <w:szCs w:val="20"/>
              </w:rPr>
            </w:pPr>
            <w:r>
              <w:rPr>
                <w:rFonts w:ascii="Arial" w:hAnsi="Arial" w:cs="Arial"/>
                <w:sz w:val="20"/>
                <w:szCs w:val="20"/>
              </w:rPr>
              <w:t xml:space="preserve">On-Road </w:t>
            </w:r>
            <w:r w:rsidR="0064294B">
              <w:rPr>
                <w:rFonts w:ascii="Arial" w:hAnsi="Arial" w:cs="Arial"/>
                <w:sz w:val="20"/>
                <w:szCs w:val="20"/>
              </w:rPr>
              <w:t xml:space="preserve">Mobile </w:t>
            </w:r>
            <w:r>
              <w:rPr>
                <w:rFonts w:ascii="Arial" w:hAnsi="Arial" w:cs="Arial"/>
                <w:sz w:val="20"/>
                <w:szCs w:val="20"/>
              </w:rPr>
              <w:t xml:space="preserve">BACM </w:t>
            </w:r>
          </w:p>
        </w:tc>
        <w:tc>
          <w:tcPr>
            <w:tcW w:w="2814" w:type="dxa"/>
            <w:vAlign w:val="center"/>
          </w:tcPr>
          <w:p w14:paraId="16C20CAB" w14:textId="51432C55" w:rsidR="00E56517" w:rsidRPr="00C67AA2" w:rsidRDefault="00E56517" w:rsidP="00E56517">
            <w:pPr>
              <w:rPr>
                <w:rFonts w:ascii="Arial" w:hAnsi="Arial" w:cs="Arial"/>
                <w:sz w:val="20"/>
                <w:szCs w:val="20"/>
              </w:rPr>
            </w:pPr>
            <w:r w:rsidRPr="0008072D">
              <w:rPr>
                <w:rFonts w:ascii="Arial" w:hAnsi="Arial" w:cs="Arial"/>
                <w:sz w:val="20"/>
                <w:szCs w:val="20"/>
              </w:rPr>
              <w:t>Approv</w:t>
            </w:r>
            <w:r>
              <w:rPr>
                <w:rFonts w:ascii="Arial" w:hAnsi="Arial" w:cs="Arial"/>
                <w:sz w:val="20"/>
                <w:szCs w:val="20"/>
              </w:rPr>
              <w:t>al Pending</w:t>
            </w:r>
          </w:p>
        </w:tc>
        <w:tc>
          <w:tcPr>
            <w:tcW w:w="3126" w:type="dxa"/>
            <w:vAlign w:val="center"/>
          </w:tcPr>
          <w:p w14:paraId="2D6CB4FE" w14:textId="0A7F0A5E" w:rsidR="00E56517" w:rsidRPr="00E56517" w:rsidRDefault="00E56517" w:rsidP="00E56517">
            <w:pPr>
              <w:rPr>
                <w:rFonts w:ascii="Arial" w:hAnsi="Arial" w:cs="Arial"/>
                <w:sz w:val="20"/>
                <w:szCs w:val="20"/>
              </w:rPr>
            </w:pPr>
            <w:r w:rsidRPr="00E56517">
              <w:rPr>
                <w:rFonts w:ascii="Arial" w:hAnsi="Arial" w:cs="Arial"/>
                <w:sz w:val="20"/>
                <w:szCs w:val="20"/>
              </w:rPr>
              <w:t>--</w:t>
            </w:r>
          </w:p>
        </w:tc>
      </w:tr>
      <w:tr w:rsidR="0064294B" w14:paraId="2E72692E" w14:textId="77777777" w:rsidTr="0064294B">
        <w:trPr>
          <w:trHeight w:val="288"/>
        </w:trPr>
        <w:tc>
          <w:tcPr>
            <w:tcW w:w="3438" w:type="dxa"/>
            <w:vAlign w:val="center"/>
          </w:tcPr>
          <w:p w14:paraId="41C32921" w14:textId="36CC324C" w:rsidR="0064294B" w:rsidRPr="00C12E67" w:rsidRDefault="0064294B" w:rsidP="00E56517">
            <w:pPr>
              <w:rPr>
                <w:rFonts w:ascii="Arial" w:hAnsi="Arial" w:cs="Arial"/>
                <w:sz w:val="20"/>
                <w:szCs w:val="20"/>
              </w:rPr>
            </w:pPr>
            <w:r>
              <w:rPr>
                <w:rFonts w:ascii="Arial" w:hAnsi="Arial" w:cs="Arial"/>
                <w:sz w:val="20"/>
                <w:szCs w:val="20"/>
              </w:rPr>
              <w:t>Non-Road M</w:t>
            </w:r>
            <w:r w:rsidRPr="00C67AA2">
              <w:rPr>
                <w:rFonts w:ascii="Arial" w:hAnsi="Arial" w:cs="Arial"/>
                <w:sz w:val="20"/>
                <w:szCs w:val="20"/>
              </w:rPr>
              <w:t xml:space="preserve">obile </w:t>
            </w:r>
            <w:r>
              <w:rPr>
                <w:rFonts w:ascii="Arial" w:hAnsi="Arial" w:cs="Arial"/>
                <w:sz w:val="20"/>
                <w:szCs w:val="20"/>
              </w:rPr>
              <w:t>B</w:t>
            </w:r>
            <w:r w:rsidRPr="00C67AA2">
              <w:rPr>
                <w:rFonts w:ascii="Arial" w:hAnsi="Arial" w:cs="Arial"/>
                <w:sz w:val="20"/>
                <w:szCs w:val="20"/>
              </w:rPr>
              <w:t>ACM</w:t>
            </w:r>
          </w:p>
        </w:tc>
        <w:tc>
          <w:tcPr>
            <w:tcW w:w="2814" w:type="dxa"/>
            <w:vAlign w:val="center"/>
          </w:tcPr>
          <w:p w14:paraId="6592CC2C" w14:textId="52B257B6" w:rsidR="0064294B" w:rsidRPr="005E7E90" w:rsidRDefault="0064294B" w:rsidP="00E56517">
            <w:pPr>
              <w:rPr>
                <w:rFonts w:ascii="Arial" w:hAnsi="Arial" w:cs="Arial"/>
                <w:color w:val="FF0000"/>
                <w:sz w:val="20"/>
                <w:szCs w:val="20"/>
              </w:rPr>
            </w:pPr>
            <w:r w:rsidRPr="0008072D">
              <w:rPr>
                <w:rFonts w:ascii="Arial" w:hAnsi="Arial" w:cs="Arial"/>
                <w:sz w:val="20"/>
                <w:szCs w:val="20"/>
              </w:rPr>
              <w:t>Approv</w:t>
            </w:r>
            <w:r>
              <w:rPr>
                <w:rFonts w:ascii="Arial" w:hAnsi="Arial" w:cs="Arial"/>
                <w:sz w:val="20"/>
                <w:szCs w:val="20"/>
              </w:rPr>
              <w:t>al Pending</w:t>
            </w:r>
          </w:p>
        </w:tc>
        <w:tc>
          <w:tcPr>
            <w:tcW w:w="3126" w:type="dxa"/>
            <w:vAlign w:val="center"/>
          </w:tcPr>
          <w:p w14:paraId="4BAFB2FD" w14:textId="1EDBD39C" w:rsidR="0064294B" w:rsidRPr="005E7E90" w:rsidRDefault="0064294B" w:rsidP="00E56517">
            <w:pPr>
              <w:rPr>
                <w:rFonts w:ascii="Arial" w:hAnsi="Arial" w:cs="Arial"/>
                <w:color w:val="FF0000"/>
                <w:sz w:val="20"/>
                <w:szCs w:val="20"/>
              </w:rPr>
            </w:pPr>
            <w:r w:rsidRPr="00E56517">
              <w:rPr>
                <w:rFonts w:ascii="Arial" w:hAnsi="Arial" w:cs="Arial"/>
                <w:sz w:val="20"/>
                <w:szCs w:val="20"/>
              </w:rPr>
              <w:t>--</w:t>
            </w:r>
          </w:p>
        </w:tc>
      </w:tr>
      <w:tr w:rsidR="0064294B" w14:paraId="7E069E75" w14:textId="77777777" w:rsidTr="0064294B">
        <w:trPr>
          <w:trHeight w:val="288"/>
        </w:trPr>
        <w:tc>
          <w:tcPr>
            <w:tcW w:w="3438" w:type="dxa"/>
            <w:vAlign w:val="center"/>
          </w:tcPr>
          <w:p w14:paraId="7639D84F" w14:textId="315EA65F" w:rsidR="0064294B" w:rsidRPr="00C67AA2" w:rsidRDefault="0064294B" w:rsidP="00E56517">
            <w:pPr>
              <w:rPr>
                <w:rFonts w:ascii="Arial" w:hAnsi="Arial" w:cs="Arial"/>
                <w:sz w:val="20"/>
                <w:szCs w:val="20"/>
              </w:rPr>
            </w:pPr>
            <w:r>
              <w:rPr>
                <w:rFonts w:ascii="Arial" w:hAnsi="Arial" w:cs="Arial"/>
                <w:sz w:val="20"/>
                <w:szCs w:val="20"/>
              </w:rPr>
              <w:t>Area Source BACM</w:t>
            </w:r>
          </w:p>
        </w:tc>
        <w:tc>
          <w:tcPr>
            <w:tcW w:w="2814" w:type="dxa"/>
            <w:vAlign w:val="center"/>
          </w:tcPr>
          <w:p w14:paraId="503843FB" w14:textId="660455A7" w:rsidR="0064294B" w:rsidRPr="00C67AA2" w:rsidRDefault="0064294B" w:rsidP="00E56517">
            <w:pPr>
              <w:rPr>
                <w:rFonts w:ascii="Arial" w:hAnsi="Arial" w:cs="Arial"/>
                <w:sz w:val="20"/>
                <w:szCs w:val="20"/>
              </w:rPr>
            </w:pPr>
            <w:r>
              <w:rPr>
                <w:rFonts w:ascii="Arial" w:hAnsi="Arial" w:cs="Arial"/>
                <w:sz w:val="20"/>
                <w:szCs w:val="20"/>
              </w:rPr>
              <w:t>See Table IX.A.27.4</w:t>
            </w:r>
          </w:p>
        </w:tc>
        <w:tc>
          <w:tcPr>
            <w:tcW w:w="3126" w:type="dxa"/>
            <w:vAlign w:val="center"/>
          </w:tcPr>
          <w:p w14:paraId="1994D6F1" w14:textId="4EE882C9" w:rsidR="0064294B" w:rsidRPr="00E56517" w:rsidRDefault="0064294B" w:rsidP="00E56517">
            <w:pPr>
              <w:rPr>
                <w:rFonts w:ascii="Arial" w:hAnsi="Arial" w:cs="Arial"/>
                <w:sz w:val="20"/>
                <w:szCs w:val="20"/>
              </w:rPr>
            </w:pPr>
            <w:r>
              <w:rPr>
                <w:rFonts w:ascii="Arial" w:hAnsi="Arial" w:cs="Arial"/>
                <w:sz w:val="20"/>
                <w:szCs w:val="20"/>
              </w:rPr>
              <w:t>--</w:t>
            </w:r>
          </w:p>
        </w:tc>
      </w:tr>
      <w:tr w:rsidR="0064294B" w14:paraId="2C21FBC5" w14:textId="77777777" w:rsidTr="0064294B">
        <w:trPr>
          <w:trHeight w:val="288"/>
        </w:trPr>
        <w:tc>
          <w:tcPr>
            <w:tcW w:w="3438" w:type="dxa"/>
            <w:vAlign w:val="center"/>
          </w:tcPr>
          <w:p w14:paraId="04A9AB7F" w14:textId="0FCB0BDD" w:rsidR="0064294B" w:rsidRDefault="0064294B" w:rsidP="00E56517">
            <w:pPr>
              <w:rPr>
                <w:rFonts w:ascii="Arial" w:hAnsi="Arial" w:cs="Arial"/>
                <w:sz w:val="20"/>
                <w:szCs w:val="20"/>
              </w:rPr>
            </w:pPr>
            <w:r w:rsidRPr="00C12E67">
              <w:rPr>
                <w:rFonts w:ascii="Arial" w:hAnsi="Arial" w:cs="Arial"/>
                <w:sz w:val="20"/>
                <w:szCs w:val="20"/>
              </w:rPr>
              <w:t>MVEB</w:t>
            </w:r>
          </w:p>
        </w:tc>
        <w:tc>
          <w:tcPr>
            <w:tcW w:w="2814" w:type="dxa"/>
            <w:vAlign w:val="center"/>
          </w:tcPr>
          <w:p w14:paraId="7B92C5F8" w14:textId="77777777" w:rsidR="0064294B" w:rsidRDefault="0064294B" w:rsidP="0064294B">
            <w:pPr>
              <w:rPr>
                <w:rFonts w:ascii="Arial" w:hAnsi="Arial" w:cs="Arial"/>
                <w:sz w:val="20"/>
                <w:szCs w:val="20"/>
              </w:rPr>
            </w:pPr>
            <w:r>
              <w:rPr>
                <w:rFonts w:ascii="Arial" w:hAnsi="Arial" w:cs="Arial"/>
                <w:sz w:val="20"/>
                <w:szCs w:val="20"/>
              </w:rPr>
              <w:t>Clean Data Determination</w:t>
            </w:r>
          </w:p>
          <w:p w14:paraId="7C24E3D3" w14:textId="48C1AD22" w:rsidR="0064294B" w:rsidRPr="0008072D" w:rsidRDefault="0064294B" w:rsidP="00E56517">
            <w:pPr>
              <w:rPr>
                <w:rFonts w:ascii="Arial" w:hAnsi="Arial" w:cs="Arial"/>
                <w:sz w:val="20"/>
                <w:szCs w:val="20"/>
              </w:rPr>
            </w:pPr>
            <w:r w:rsidRPr="00EA2E1D">
              <w:rPr>
                <w:rFonts w:ascii="Arial" w:hAnsi="Arial" w:cs="Arial"/>
                <w:color w:val="00B050"/>
                <w:sz w:val="20"/>
                <w:szCs w:val="20"/>
              </w:rPr>
              <w:t>4/10/2019</w:t>
            </w:r>
          </w:p>
        </w:tc>
        <w:tc>
          <w:tcPr>
            <w:tcW w:w="3126" w:type="dxa"/>
            <w:vAlign w:val="center"/>
          </w:tcPr>
          <w:p w14:paraId="2E451ACD" w14:textId="491BDCE0" w:rsidR="0064294B" w:rsidRPr="00E56517" w:rsidRDefault="0064294B" w:rsidP="00E56517">
            <w:pPr>
              <w:rPr>
                <w:rFonts w:ascii="Arial" w:hAnsi="Arial" w:cs="Arial"/>
                <w:sz w:val="20"/>
                <w:szCs w:val="20"/>
              </w:rPr>
            </w:pPr>
            <w:r w:rsidRPr="00EA2E1D">
              <w:rPr>
                <w:rFonts w:ascii="Arial" w:hAnsi="Arial" w:cs="Arial"/>
                <w:color w:val="00B050"/>
                <w:sz w:val="20"/>
                <w:szCs w:val="20"/>
              </w:rPr>
              <w:t>84 FR 14267</w:t>
            </w:r>
          </w:p>
        </w:tc>
      </w:tr>
      <w:tr w:rsidR="00765C2E" w14:paraId="2CCCE03F" w14:textId="77777777" w:rsidTr="0064294B">
        <w:trPr>
          <w:trHeight w:val="288"/>
        </w:trPr>
        <w:tc>
          <w:tcPr>
            <w:tcW w:w="3438" w:type="dxa"/>
            <w:vAlign w:val="center"/>
          </w:tcPr>
          <w:p w14:paraId="6BCA536D" w14:textId="4E34BB33" w:rsidR="00765C2E" w:rsidRPr="00C12E67" w:rsidRDefault="00765C2E" w:rsidP="00E56517">
            <w:pPr>
              <w:rPr>
                <w:rFonts w:ascii="Arial" w:hAnsi="Arial" w:cs="Arial"/>
                <w:sz w:val="20"/>
                <w:szCs w:val="20"/>
              </w:rPr>
            </w:pPr>
            <w:r>
              <w:rPr>
                <w:rFonts w:ascii="Arial" w:hAnsi="Arial" w:cs="Arial"/>
                <w:sz w:val="20"/>
                <w:szCs w:val="20"/>
              </w:rPr>
              <w:t>Nonattainment New Source Review (R307-403)</w:t>
            </w:r>
          </w:p>
        </w:tc>
        <w:tc>
          <w:tcPr>
            <w:tcW w:w="2814" w:type="dxa"/>
            <w:vAlign w:val="center"/>
          </w:tcPr>
          <w:p w14:paraId="4BEF7D06" w14:textId="25D8DBAC" w:rsidR="00765C2E" w:rsidRPr="00765C2E" w:rsidRDefault="00765C2E" w:rsidP="0064294B">
            <w:pPr>
              <w:rPr>
                <w:rFonts w:ascii="Arial" w:hAnsi="Arial" w:cs="Arial"/>
                <w:sz w:val="20"/>
                <w:szCs w:val="20"/>
              </w:rPr>
            </w:pPr>
            <w:r w:rsidRPr="00765C2E">
              <w:rPr>
                <w:rFonts w:ascii="Arial" w:hAnsi="Arial" w:cs="Arial"/>
                <w:sz w:val="20"/>
                <w:szCs w:val="20"/>
              </w:rPr>
              <w:t>Approved on 7/25/2019</w:t>
            </w:r>
          </w:p>
        </w:tc>
        <w:tc>
          <w:tcPr>
            <w:tcW w:w="3126" w:type="dxa"/>
            <w:vAlign w:val="center"/>
          </w:tcPr>
          <w:p w14:paraId="3D9C35E8" w14:textId="2A5C29E3" w:rsidR="00765C2E" w:rsidRPr="00765C2E" w:rsidRDefault="00765C2E" w:rsidP="00E56517">
            <w:pPr>
              <w:rPr>
                <w:rFonts w:ascii="Arial" w:hAnsi="Arial" w:cs="Arial"/>
                <w:sz w:val="20"/>
                <w:szCs w:val="20"/>
              </w:rPr>
            </w:pPr>
            <w:r w:rsidRPr="00765C2E">
              <w:rPr>
                <w:rFonts w:ascii="Arial" w:hAnsi="Arial" w:cs="Arial"/>
                <w:sz w:val="20"/>
                <w:szCs w:val="20"/>
              </w:rPr>
              <w:t>84 FR 35832</w:t>
            </w:r>
          </w:p>
        </w:tc>
      </w:tr>
      <w:tr w:rsidR="0064294B" w14:paraId="3C024FBF" w14:textId="77777777" w:rsidTr="0064294B">
        <w:trPr>
          <w:trHeight w:val="288"/>
        </w:trPr>
        <w:tc>
          <w:tcPr>
            <w:tcW w:w="3438" w:type="dxa"/>
            <w:vAlign w:val="center"/>
          </w:tcPr>
          <w:p w14:paraId="5EF9F692" w14:textId="7922E18A" w:rsidR="0064294B" w:rsidRPr="00C67AA2" w:rsidRDefault="0064294B" w:rsidP="0064294B">
            <w:pPr>
              <w:rPr>
                <w:rFonts w:ascii="Arial" w:hAnsi="Arial" w:cs="Arial"/>
                <w:sz w:val="20"/>
                <w:szCs w:val="20"/>
              </w:rPr>
            </w:pPr>
            <w:r>
              <w:rPr>
                <w:rFonts w:ascii="Arial" w:hAnsi="Arial" w:cs="Arial"/>
                <w:sz w:val="20"/>
                <w:szCs w:val="20"/>
              </w:rPr>
              <w:t>Reasonable Further Progress</w:t>
            </w:r>
          </w:p>
        </w:tc>
        <w:tc>
          <w:tcPr>
            <w:tcW w:w="2814" w:type="dxa"/>
            <w:vAlign w:val="center"/>
          </w:tcPr>
          <w:p w14:paraId="31AC73C9" w14:textId="77777777" w:rsidR="0064294B" w:rsidRDefault="0064294B" w:rsidP="0064294B">
            <w:pPr>
              <w:rPr>
                <w:rFonts w:ascii="Arial" w:hAnsi="Arial" w:cs="Arial"/>
                <w:sz w:val="20"/>
                <w:szCs w:val="20"/>
              </w:rPr>
            </w:pPr>
            <w:r>
              <w:rPr>
                <w:rFonts w:ascii="Arial" w:hAnsi="Arial" w:cs="Arial"/>
                <w:sz w:val="20"/>
                <w:szCs w:val="20"/>
              </w:rPr>
              <w:t>Clean Data Determination</w:t>
            </w:r>
          </w:p>
          <w:p w14:paraId="4A390882" w14:textId="3FE2BB4A" w:rsidR="0064294B" w:rsidRPr="00C67AA2" w:rsidRDefault="0064294B" w:rsidP="0064294B">
            <w:pPr>
              <w:rPr>
                <w:rFonts w:ascii="Arial" w:hAnsi="Arial" w:cs="Arial"/>
                <w:sz w:val="20"/>
                <w:szCs w:val="20"/>
              </w:rPr>
            </w:pPr>
            <w:r w:rsidRPr="00EA2E1D">
              <w:rPr>
                <w:rFonts w:ascii="Arial" w:hAnsi="Arial" w:cs="Arial"/>
                <w:color w:val="00B050"/>
                <w:sz w:val="20"/>
                <w:szCs w:val="20"/>
              </w:rPr>
              <w:t>4/10/2019</w:t>
            </w:r>
          </w:p>
        </w:tc>
        <w:tc>
          <w:tcPr>
            <w:tcW w:w="3126" w:type="dxa"/>
            <w:vAlign w:val="center"/>
          </w:tcPr>
          <w:p w14:paraId="1A835937" w14:textId="10DF6148" w:rsidR="0064294B" w:rsidRPr="00C67AA2" w:rsidRDefault="0064294B" w:rsidP="0064294B">
            <w:pPr>
              <w:rPr>
                <w:rFonts w:ascii="Arial" w:hAnsi="Arial" w:cs="Arial"/>
                <w:sz w:val="20"/>
                <w:szCs w:val="20"/>
              </w:rPr>
            </w:pPr>
            <w:r w:rsidRPr="00EA2E1D">
              <w:rPr>
                <w:rFonts w:ascii="Arial" w:hAnsi="Arial" w:cs="Arial"/>
                <w:color w:val="00B050"/>
                <w:sz w:val="20"/>
                <w:szCs w:val="20"/>
              </w:rPr>
              <w:t>84 FR 14267</w:t>
            </w:r>
          </w:p>
        </w:tc>
      </w:tr>
      <w:tr w:rsidR="0064294B" w14:paraId="414383CB" w14:textId="77777777" w:rsidTr="0064294B">
        <w:trPr>
          <w:trHeight w:val="288"/>
        </w:trPr>
        <w:tc>
          <w:tcPr>
            <w:tcW w:w="3438" w:type="dxa"/>
            <w:vAlign w:val="center"/>
          </w:tcPr>
          <w:p w14:paraId="3FBA3824" w14:textId="78D123CC" w:rsidR="0064294B" w:rsidRPr="00C67AA2" w:rsidRDefault="0064294B" w:rsidP="0064294B">
            <w:pPr>
              <w:rPr>
                <w:rFonts w:ascii="Arial" w:hAnsi="Arial" w:cs="Arial"/>
                <w:sz w:val="20"/>
                <w:szCs w:val="20"/>
              </w:rPr>
            </w:pPr>
            <w:r>
              <w:rPr>
                <w:rFonts w:ascii="Arial" w:hAnsi="Arial" w:cs="Arial"/>
                <w:sz w:val="20"/>
                <w:szCs w:val="20"/>
              </w:rPr>
              <w:t>Quantitative Milestones</w:t>
            </w:r>
          </w:p>
        </w:tc>
        <w:tc>
          <w:tcPr>
            <w:tcW w:w="2814" w:type="dxa"/>
            <w:vAlign w:val="center"/>
          </w:tcPr>
          <w:p w14:paraId="4E34BB62" w14:textId="77777777" w:rsidR="0064294B" w:rsidRDefault="0064294B" w:rsidP="0064294B">
            <w:pPr>
              <w:rPr>
                <w:rFonts w:ascii="Arial" w:hAnsi="Arial" w:cs="Arial"/>
                <w:sz w:val="20"/>
                <w:szCs w:val="20"/>
              </w:rPr>
            </w:pPr>
            <w:r>
              <w:rPr>
                <w:rFonts w:ascii="Arial" w:hAnsi="Arial" w:cs="Arial"/>
                <w:sz w:val="20"/>
                <w:szCs w:val="20"/>
              </w:rPr>
              <w:t>Clean Data Determination</w:t>
            </w:r>
          </w:p>
          <w:p w14:paraId="70A9DD07" w14:textId="58057A03" w:rsidR="0064294B" w:rsidRPr="00C67AA2" w:rsidRDefault="0064294B" w:rsidP="0064294B">
            <w:pPr>
              <w:rPr>
                <w:rFonts w:ascii="Arial" w:hAnsi="Arial" w:cs="Arial"/>
                <w:sz w:val="20"/>
                <w:szCs w:val="20"/>
              </w:rPr>
            </w:pPr>
            <w:r w:rsidRPr="00EA2E1D">
              <w:rPr>
                <w:rFonts w:ascii="Arial" w:hAnsi="Arial" w:cs="Arial"/>
                <w:color w:val="00B050"/>
                <w:sz w:val="20"/>
                <w:szCs w:val="20"/>
              </w:rPr>
              <w:t>4/10/2019</w:t>
            </w:r>
          </w:p>
        </w:tc>
        <w:tc>
          <w:tcPr>
            <w:tcW w:w="3126" w:type="dxa"/>
            <w:vAlign w:val="center"/>
          </w:tcPr>
          <w:p w14:paraId="3F9138F9" w14:textId="19213A4E" w:rsidR="0064294B" w:rsidRPr="00C67AA2" w:rsidRDefault="0064294B" w:rsidP="0064294B">
            <w:pPr>
              <w:rPr>
                <w:rFonts w:ascii="Arial" w:hAnsi="Arial" w:cs="Arial"/>
                <w:sz w:val="20"/>
                <w:szCs w:val="20"/>
              </w:rPr>
            </w:pPr>
            <w:r w:rsidRPr="00EA2E1D">
              <w:rPr>
                <w:rFonts w:ascii="Arial" w:hAnsi="Arial" w:cs="Arial"/>
                <w:color w:val="00B050"/>
                <w:sz w:val="20"/>
                <w:szCs w:val="20"/>
              </w:rPr>
              <w:t>84 FR 14267</w:t>
            </w:r>
          </w:p>
        </w:tc>
      </w:tr>
      <w:tr w:rsidR="0064294B" w14:paraId="60309F7E" w14:textId="77777777" w:rsidTr="0064294B">
        <w:trPr>
          <w:trHeight w:val="288"/>
        </w:trPr>
        <w:tc>
          <w:tcPr>
            <w:tcW w:w="3438" w:type="dxa"/>
            <w:vAlign w:val="center"/>
          </w:tcPr>
          <w:p w14:paraId="5623ECB2" w14:textId="1A12C4B4" w:rsidR="0064294B" w:rsidRDefault="0064294B" w:rsidP="0064294B">
            <w:pPr>
              <w:rPr>
                <w:rFonts w:ascii="Arial" w:hAnsi="Arial" w:cs="Arial"/>
                <w:sz w:val="20"/>
                <w:szCs w:val="20"/>
              </w:rPr>
            </w:pPr>
            <w:r>
              <w:rPr>
                <w:rFonts w:ascii="Arial" w:hAnsi="Arial" w:cs="Arial"/>
                <w:sz w:val="20"/>
                <w:szCs w:val="20"/>
              </w:rPr>
              <w:t>Contingency Measures</w:t>
            </w:r>
          </w:p>
        </w:tc>
        <w:tc>
          <w:tcPr>
            <w:tcW w:w="2814" w:type="dxa"/>
            <w:vAlign w:val="center"/>
          </w:tcPr>
          <w:p w14:paraId="6DA05E86" w14:textId="77777777" w:rsidR="0064294B" w:rsidRDefault="0064294B" w:rsidP="0064294B">
            <w:pPr>
              <w:rPr>
                <w:rFonts w:ascii="Arial" w:hAnsi="Arial" w:cs="Arial"/>
                <w:sz w:val="20"/>
                <w:szCs w:val="20"/>
              </w:rPr>
            </w:pPr>
            <w:r>
              <w:rPr>
                <w:rFonts w:ascii="Arial" w:hAnsi="Arial" w:cs="Arial"/>
                <w:sz w:val="20"/>
                <w:szCs w:val="20"/>
              </w:rPr>
              <w:t>Clean Data Determination</w:t>
            </w:r>
          </w:p>
          <w:p w14:paraId="10E46B25" w14:textId="3C571D10" w:rsidR="0064294B" w:rsidRDefault="0064294B" w:rsidP="0064294B">
            <w:pPr>
              <w:rPr>
                <w:rFonts w:ascii="Arial" w:hAnsi="Arial" w:cs="Arial"/>
                <w:sz w:val="20"/>
                <w:szCs w:val="20"/>
              </w:rPr>
            </w:pPr>
            <w:r w:rsidRPr="00EA2E1D">
              <w:rPr>
                <w:rFonts w:ascii="Arial" w:hAnsi="Arial" w:cs="Arial"/>
                <w:color w:val="00B050"/>
                <w:sz w:val="20"/>
                <w:szCs w:val="20"/>
              </w:rPr>
              <w:t>4/10/2019</w:t>
            </w:r>
          </w:p>
        </w:tc>
        <w:tc>
          <w:tcPr>
            <w:tcW w:w="3126" w:type="dxa"/>
            <w:vAlign w:val="center"/>
          </w:tcPr>
          <w:p w14:paraId="25EF1620" w14:textId="03F2E1B6" w:rsidR="0064294B" w:rsidRDefault="0064294B" w:rsidP="0064294B">
            <w:pPr>
              <w:rPr>
                <w:rFonts w:ascii="Arial" w:hAnsi="Arial" w:cs="Arial"/>
                <w:sz w:val="20"/>
                <w:szCs w:val="20"/>
              </w:rPr>
            </w:pPr>
            <w:r w:rsidRPr="00EA2E1D">
              <w:rPr>
                <w:rFonts w:ascii="Arial" w:hAnsi="Arial" w:cs="Arial"/>
                <w:color w:val="00B050"/>
                <w:sz w:val="20"/>
                <w:szCs w:val="20"/>
              </w:rPr>
              <w:t>84 FR 14267</w:t>
            </w:r>
          </w:p>
        </w:tc>
      </w:tr>
      <w:tr w:rsidR="0064294B" w14:paraId="7724D421" w14:textId="77777777" w:rsidTr="0064294B">
        <w:trPr>
          <w:trHeight w:val="288"/>
        </w:trPr>
        <w:tc>
          <w:tcPr>
            <w:tcW w:w="3438" w:type="dxa"/>
            <w:vAlign w:val="center"/>
          </w:tcPr>
          <w:p w14:paraId="446384C2" w14:textId="133B5B90" w:rsidR="0064294B" w:rsidRDefault="0064294B" w:rsidP="0064294B">
            <w:pPr>
              <w:rPr>
                <w:rFonts w:ascii="Arial" w:hAnsi="Arial" w:cs="Arial"/>
                <w:sz w:val="20"/>
                <w:szCs w:val="20"/>
              </w:rPr>
            </w:pPr>
          </w:p>
        </w:tc>
        <w:tc>
          <w:tcPr>
            <w:tcW w:w="2814" w:type="dxa"/>
            <w:vAlign w:val="center"/>
          </w:tcPr>
          <w:p w14:paraId="571DCA2D" w14:textId="07D50C09" w:rsidR="0064294B" w:rsidRDefault="0064294B" w:rsidP="0064294B">
            <w:pPr>
              <w:rPr>
                <w:rFonts w:ascii="Arial" w:hAnsi="Arial" w:cs="Arial"/>
                <w:sz w:val="20"/>
                <w:szCs w:val="20"/>
              </w:rPr>
            </w:pPr>
          </w:p>
        </w:tc>
        <w:tc>
          <w:tcPr>
            <w:tcW w:w="3126" w:type="dxa"/>
            <w:vAlign w:val="center"/>
          </w:tcPr>
          <w:p w14:paraId="2CE20D4B" w14:textId="74AF657B" w:rsidR="0064294B" w:rsidRDefault="0064294B" w:rsidP="005C258A">
            <w:pPr>
              <w:keepNext/>
              <w:rPr>
                <w:rFonts w:ascii="Arial" w:hAnsi="Arial" w:cs="Arial"/>
                <w:sz w:val="20"/>
                <w:szCs w:val="20"/>
              </w:rPr>
            </w:pPr>
          </w:p>
        </w:tc>
      </w:tr>
    </w:tbl>
    <w:p w14:paraId="3AFBA5E4" w14:textId="64F2E92F" w:rsidR="005C258A" w:rsidRDefault="005C258A">
      <w:pPr>
        <w:pStyle w:val="Caption"/>
      </w:pPr>
      <w:bookmarkStart w:id="17" w:name="_Toc17201277"/>
      <w:bookmarkStart w:id="18" w:name="_Toc10186276"/>
      <w:bookmarkStart w:id="19" w:name="_Toc15906990"/>
      <w:r>
        <w:t xml:space="preserve">Table IX.A.27. </w:t>
      </w:r>
      <w:fldSimple w:instr=" SEQ Table_IX.A.27. \* ARABIC ">
        <w:r w:rsidR="00C012A9">
          <w:rPr>
            <w:noProof/>
          </w:rPr>
          <w:t>3</w:t>
        </w:r>
      </w:fldSimple>
      <w:r w:rsidRPr="005C258A">
        <w:t xml:space="preserve"> </w:t>
      </w:r>
      <w:r>
        <w:t>Provo</w:t>
      </w:r>
      <w:r w:rsidRPr="00BA2DDD">
        <w:t>, UT Serious SIP Approval Status</w:t>
      </w:r>
      <w:bookmarkEnd w:id="17"/>
    </w:p>
    <w:p w14:paraId="40BEF10B" w14:textId="77777777" w:rsidR="005C258A" w:rsidRDefault="005C258A" w:rsidP="008844AC">
      <w:pPr>
        <w:rPr>
          <w:rFonts w:cs="Times New Roman"/>
          <w:color w:val="00B050"/>
        </w:rPr>
      </w:pPr>
      <w:bookmarkStart w:id="20" w:name="_Hlk14339316"/>
      <w:bookmarkEnd w:id="18"/>
      <w:bookmarkEnd w:id="19"/>
    </w:p>
    <w:p w14:paraId="3B3CEB08" w14:textId="124395E7" w:rsidR="008844AC" w:rsidRPr="007A5367" w:rsidRDefault="008844AC" w:rsidP="008844AC">
      <w:pPr>
        <w:rPr>
          <w:rFonts w:cs="Times New Roman"/>
          <w:color w:val="00B050"/>
        </w:rPr>
      </w:pPr>
      <w:r w:rsidRPr="007A5367">
        <w:rPr>
          <w:rFonts w:cs="Times New Roman"/>
          <w:color w:val="00B050"/>
        </w:rPr>
        <w:t>The SIP elements still required under the clean data policy</w:t>
      </w:r>
      <w:r w:rsidRPr="007A5367">
        <w:rPr>
          <w:rStyle w:val="FootnoteReference"/>
          <w:rFonts w:cs="Times New Roman"/>
          <w:color w:val="00B050"/>
        </w:rPr>
        <w:footnoteReference w:id="7"/>
      </w:r>
      <w:r w:rsidRPr="007A5367">
        <w:rPr>
          <w:rFonts w:cs="Times New Roman"/>
          <w:color w:val="00B050"/>
        </w:rPr>
        <w:t xml:space="preserve"> include emission inventories, NNSR requirements, and BACM/BACT. </w:t>
      </w:r>
      <w:bookmarkEnd w:id="20"/>
      <w:r w:rsidRPr="007A5367">
        <w:rPr>
          <w:rFonts w:cs="Times New Roman"/>
          <w:color w:val="00B050"/>
        </w:rPr>
        <w:t>The EPA approved R307-403, Permits: New and Modified Sources in Nonattainment Areas and Maintenance Areas on July 25, 2019 (84 FR 35832), which covers the NNSR requirement for the PM</w:t>
      </w:r>
      <w:r w:rsidRPr="007A5367">
        <w:rPr>
          <w:rFonts w:cs="Times New Roman"/>
          <w:color w:val="00B050"/>
          <w:vertAlign w:val="subscript"/>
        </w:rPr>
        <w:t>2.5</w:t>
      </w:r>
      <w:r w:rsidRPr="007A5367">
        <w:rPr>
          <w:rFonts w:cs="Times New Roman"/>
          <w:color w:val="00B050"/>
        </w:rPr>
        <w:t xml:space="preserve"> attainment plans. The State has submitted the emission inventories, and BACM/BACT elements to the EPA, including the R307-300 series amendments and the point source BACT emission limitation and operating practices (Utah SIP</w:t>
      </w:r>
      <w:r w:rsidR="00637BD4">
        <w:rPr>
          <w:rFonts w:cs="Times New Roman"/>
          <w:color w:val="00B050"/>
        </w:rPr>
        <w:t xml:space="preserve"> Sec</w:t>
      </w:r>
      <w:r w:rsidR="005C258A">
        <w:rPr>
          <w:rFonts w:cs="Times New Roman"/>
          <w:color w:val="00B050"/>
        </w:rPr>
        <w:t>t</w:t>
      </w:r>
      <w:r w:rsidR="00637BD4">
        <w:rPr>
          <w:rFonts w:cs="Times New Roman"/>
          <w:color w:val="00B050"/>
        </w:rPr>
        <w:t>ion IX.H</w:t>
      </w:r>
      <w:r w:rsidRPr="007A5367">
        <w:rPr>
          <w:rFonts w:cs="Times New Roman"/>
          <w:color w:val="00B050"/>
        </w:rPr>
        <w:t>). These SIP elements are still pending EPA approval.</w:t>
      </w:r>
    </w:p>
    <w:p w14:paraId="38C87896" w14:textId="0EE72694" w:rsidR="00473C1F" w:rsidRPr="006342AC" w:rsidRDefault="00B35F7E" w:rsidP="00E875DA">
      <w:pPr>
        <w:rPr>
          <w:color w:val="E36C0A" w:themeColor="accent6" w:themeShade="BF"/>
        </w:rPr>
      </w:pPr>
      <w:r w:rsidRPr="00E37CAD">
        <w:rPr>
          <w:rFonts w:cs="Times New Roman"/>
          <w:color w:val="00B050"/>
        </w:rPr>
        <w:t xml:space="preserve">While many of the </w:t>
      </w:r>
      <w:r w:rsidR="00BD351F">
        <w:rPr>
          <w:rFonts w:cs="Times New Roman"/>
          <w:color w:val="00B050"/>
        </w:rPr>
        <w:t>m</w:t>
      </w:r>
      <w:r w:rsidR="00F9606B">
        <w:rPr>
          <w:rFonts w:cs="Times New Roman"/>
          <w:color w:val="00B050"/>
        </w:rPr>
        <w:t xml:space="preserve">oderate and </w:t>
      </w:r>
      <w:r w:rsidR="00BD351F">
        <w:rPr>
          <w:rFonts w:cs="Times New Roman"/>
          <w:color w:val="00B050"/>
        </w:rPr>
        <w:t>s</w:t>
      </w:r>
      <w:r w:rsidRPr="00E37CAD">
        <w:rPr>
          <w:rFonts w:cs="Times New Roman"/>
          <w:color w:val="00B050"/>
        </w:rPr>
        <w:t xml:space="preserve">erious SIP elements are suspended under the clean data determination, </w:t>
      </w:r>
      <w:r w:rsidR="00500F9A">
        <w:rPr>
          <w:rFonts w:cs="Times New Roman"/>
          <w:color w:val="00B050"/>
        </w:rPr>
        <w:t xml:space="preserve">many of the </w:t>
      </w:r>
      <w:r w:rsidR="00BD351F">
        <w:rPr>
          <w:rFonts w:cs="Times New Roman"/>
          <w:color w:val="00B050"/>
        </w:rPr>
        <w:t>m</w:t>
      </w:r>
      <w:r w:rsidRPr="00E37CAD">
        <w:rPr>
          <w:rFonts w:cs="Times New Roman"/>
          <w:color w:val="00B050"/>
        </w:rPr>
        <w:t xml:space="preserve">oderate SIP element </w:t>
      </w:r>
      <w:r w:rsidR="00F9606B">
        <w:rPr>
          <w:rFonts w:cs="Times New Roman"/>
          <w:color w:val="00B050"/>
        </w:rPr>
        <w:t>have been approved</w:t>
      </w:r>
      <w:r w:rsidRPr="003C0BAD">
        <w:rPr>
          <w:rFonts w:cs="Times New Roman"/>
          <w:color w:val="0070C0"/>
        </w:rPr>
        <w:t xml:space="preserve">. </w:t>
      </w:r>
      <w:r w:rsidR="006342AC" w:rsidRPr="006342AC">
        <w:t>As part of the Utah moderate SIPs, 24 area source rules were either introduced or augmented to control PM</w:t>
      </w:r>
      <w:r w:rsidR="006342AC" w:rsidRPr="006342AC">
        <w:rPr>
          <w:vertAlign w:val="subscript"/>
        </w:rPr>
        <w:t>2.5</w:t>
      </w:r>
      <w:r w:rsidR="006342AC" w:rsidRPr="006342AC">
        <w:t xml:space="preserve"> and PM</w:t>
      </w:r>
      <w:r w:rsidR="006342AC" w:rsidRPr="006342AC">
        <w:rPr>
          <w:vertAlign w:val="subscript"/>
        </w:rPr>
        <w:t>2.5</w:t>
      </w:r>
      <w:r w:rsidR="006342AC" w:rsidRPr="006342AC">
        <w:t xml:space="preserve"> precursors. </w:t>
      </w:r>
      <w:r w:rsidR="00473C1F" w:rsidRPr="006342AC">
        <w:t>On February 25, 2016 (81 FR 9343)</w:t>
      </w:r>
      <w:r w:rsidR="00EC24BC">
        <w:t>,</w:t>
      </w:r>
      <w:r w:rsidR="00473C1F" w:rsidRPr="006342AC">
        <w:t xml:space="preserve"> and October 19, 2016 (81 FR 71988), the EPA approved area source rule revisions and </w:t>
      </w:r>
      <w:r w:rsidR="00EC24BC">
        <w:t>r</w:t>
      </w:r>
      <w:r w:rsidR="0031725C">
        <w:t xml:space="preserve">easonably </w:t>
      </w:r>
      <w:r w:rsidR="00EC24BC">
        <w:t>a</w:t>
      </w:r>
      <w:r w:rsidR="0031725C">
        <w:t xml:space="preserve">vailable </w:t>
      </w:r>
      <w:r w:rsidR="00EC24BC">
        <w:t>c</w:t>
      </w:r>
      <w:r w:rsidR="0031725C">
        <w:t xml:space="preserve">ontrol </w:t>
      </w:r>
      <w:r w:rsidR="00EC24BC">
        <w:t>m</w:t>
      </w:r>
      <w:r w:rsidR="0031725C">
        <w:t>easure (</w:t>
      </w:r>
      <w:r w:rsidR="00473C1F" w:rsidRPr="006342AC">
        <w:t>RACM</w:t>
      </w:r>
      <w:r w:rsidR="0031725C">
        <w:t>)</w:t>
      </w:r>
      <w:r w:rsidR="00473C1F" w:rsidRPr="006342AC">
        <w:t xml:space="preserve"> analyses (where appropriate) for the majority of t</w:t>
      </w:r>
      <w:r w:rsidR="001E4F7D">
        <w:t xml:space="preserve">he R307-300 series. </w:t>
      </w:r>
      <w:r w:rsidR="001E4F7D" w:rsidRPr="00E37CAD">
        <w:t>See Table IX.A.</w:t>
      </w:r>
      <w:r w:rsidR="00E37CAD" w:rsidRPr="00E37CAD">
        <w:t>27</w:t>
      </w:r>
      <w:r w:rsidR="001E4F7D" w:rsidRPr="00E37CAD">
        <w:t>.4</w:t>
      </w:r>
      <w:r w:rsidR="00473C1F" w:rsidRPr="00E37CAD">
        <w:t xml:space="preserve"> for details</w:t>
      </w:r>
      <w:r w:rsidR="00473C1F" w:rsidRPr="006342AC">
        <w:t xml:space="preserve"> on rules, approval dates, and implementation schedules.</w:t>
      </w:r>
      <w:r w:rsidR="006342AC" w:rsidRPr="006342AC">
        <w:t xml:space="preserve"> For the</w:t>
      </w:r>
      <w:r w:rsidR="006342AC">
        <w:t xml:space="preserve"> </w:t>
      </w:r>
      <w:r w:rsidR="00CD3064">
        <w:t>SLC and Provo</w:t>
      </w:r>
      <w:r w:rsidR="006342AC">
        <w:t xml:space="preserve"> NAA</w:t>
      </w:r>
      <w:r w:rsidR="00CD3064">
        <w:t>s</w:t>
      </w:r>
      <w:r w:rsidR="006342AC">
        <w:t xml:space="preserve">, the BACM analysis resulted in revisions to 13 different area source rules which affect surface coating, graphic arts, and aerospace manufacture and rework </w:t>
      </w:r>
      <w:r w:rsidR="006342AC" w:rsidRPr="006342AC">
        <w:t>facilities.</w:t>
      </w:r>
    </w:p>
    <w:tbl>
      <w:tblPr>
        <w:tblStyle w:val="TableGrid1"/>
        <w:tblW w:w="8568" w:type="dxa"/>
        <w:tblBorders>
          <w:left w:val="none" w:sz="0" w:space="0" w:color="auto"/>
          <w:right w:val="none" w:sz="0" w:space="0" w:color="auto"/>
          <w:insideV w:val="none" w:sz="0" w:space="0" w:color="auto"/>
        </w:tblBorders>
        <w:tblLook w:val="04A0" w:firstRow="1" w:lastRow="0" w:firstColumn="1" w:lastColumn="0" w:noHBand="0" w:noVBand="1"/>
      </w:tblPr>
      <w:tblGrid>
        <w:gridCol w:w="4132"/>
        <w:gridCol w:w="4436"/>
      </w:tblGrid>
      <w:tr w:rsidR="003321D3" w:rsidRPr="00322725" w14:paraId="24BFB60E" w14:textId="77777777" w:rsidTr="00C74135">
        <w:trPr>
          <w:trHeight w:val="647"/>
          <w:tblHeader/>
        </w:trPr>
        <w:tc>
          <w:tcPr>
            <w:tcW w:w="4132" w:type="dxa"/>
            <w:shd w:val="clear" w:color="auto" w:fill="D9D9D9" w:themeFill="background1" w:themeFillShade="D9"/>
            <w:vAlign w:val="center"/>
          </w:tcPr>
          <w:p w14:paraId="14274D44"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EPA-Approved/Conditionally Approved Control Measures for UT Moderate PM</w:t>
            </w:r>
            <w:r w:rsidRPr="003037CD">
              <w:rPr>
                <w:rFonts w:ascii="Arial" w:eastAsia="Times New Roman" w:hAnsi="Arial" w:cs="Arial"/>
                <w:b/>
                <w:sz w:val="18"/>
                <w:szCs w:val="18"/>
                <w:vertAlign w:val="subscript"/>
              </w:rPr>
              <w:t>2.5</w:t>
            </w:r>
            <w:r w:rsidRPr="003037CD">
              <w:rPr>
                <w:rFonts w:ascii="Arial" w:eastAsia="Times New Roman" w:hAnsi="Arial" w:cs="Arial"/>
                <w:b/>
                <w:sz w:val="18"/>
                <w:szCs w:val="18"/>
              </w:rPr>
              <w:t xml:space="preserve"> SIPs</w:t>
            </w:r>
          </w:p>
        </w:tc>
        <w:tc>
          <w:tcPr>
            <w:tcW w:w="4436" w:type="dxa"/>
            <w:shd w:val="clear" w:color="auto" w:fill="D9D9D9" w:themeFill="background1" w:themeFillShade="D9"/>
            <w:vAlign w:val="center"/>
          </w:tcPr>
          <w:p w14:paraId="42CBEFEA" w14:textId="77777777" w:rsidR="003321D3" w:rsidRPr="003037CD" w:rsidRDefault="003321D3" w:rsidP="007A5BBA">
            <w:pPr>
              <w:jc w:val="center"/>
              <w:rPr>
                <w:rFonts w:ascii="Arial" w:eastAsia="Times New Roman" w:hAnsi="Arial" w:cs="Arial"/>
                <w:b/>
                <w:sz w:val="18"/>
                <w:szCs w:val="18"/>
              </w:rPr>
            </w:pPr>
            <w:r w:rsidRPr="003037CD">
              <w:rPr>
                <w:rFonts w:ascii="Arial" w:eastAsia="Times New Roman" w:hAnsi="Arial" w:cs="Arial"/>
                <w:b/>
                <w:sz w:val="18"/>
                <w:szCs w:val="18"/>
              </w:rPr>
              <w:t>Implementation Schedule</w:t>
            </w:r>
          </w:p>
        </w:tc>
      </w:tr>
      <w:tr w:rsidR="003321D3" w:rsidRPr="00322725" w14:paraId="14891D7C" w14:textId="77777777" w:rsidTr="00C74135">
        <w:trPr>
          <w:trHeight w:val="980"/>
        </w:trPr>
        <w:tc>
          <w:tcPr>
            <w:tcW w:w="4132" w:type="dxa"/>
            <w:vAlign w:val="center"/>
          </w:tcPr>
          <w:p w14:paraId="69B80CF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R307-302 Solid Fuel Burning Devices </w:t>
            </w:r>
            <w:r w:rsidRPr="003037CD">
              <w:rPr>
                <w:rFonts w:ascii="Arial" w:eastAsia="Times New Roman" w:hAnsi="Arial" w:cs="Arial"/>
                <w:sz w:val="18"/>
                <w:szCs w:val="18"/>
                <w:vertAlign w:val="superscript"/>
              </w:rPr>
              <w:t>1</w:t>
            </w:r>
          </w:p>
          <w:p w14:paraId="54D5CC9F" w14:textId="456C0795"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conditionally approved</w:t>
            </w:r>
            <w:r w:rsidR="007B7915">
              <w:rPr>
                <w:rFonts w:ascii="Arial" w:eastAsia="Times New Roman" w:hAnsi="Arial" w:cs="Arial"/>
                <w:sz w:val="18"/>
                <w:szCs w:val="18"/>
              </w:rPr>
              <w:t>*</w:t>
            </w:r>
            <w:r w:rsidRPr="003037CD">
              <w:rPr>
                <w:rFonts w:ascii="Arial" w:eastAsia="Times New Roman" w:hAnsi="Arial" w:cs="Arial"/>
                <w:sz w:val="18"/>
                <w:szCs w:val="18"/>
              </w:rPr>
              <w:t xml:space="preserve"> October 19, 2016 (81 FR 71988).</w:t>
            </w:r>
          </w:p>
        </w:tc>
        <w:tc>
          <w:tcPr>
            <w:tcW w:w="4436" w:type="dxa"/>
            <w:vAlign w:val="center"/>
          </w:tcPr>
          <w:p w14:paraId="2917E3C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1, 2017</w:t>
            </w:r>
          </w:p>
        </w:tc>
      </w:tr>
      <w:tr w:rsidR="003321D3" w:rsidRPr="00322725" w14:paraId="31853815" w14:textId="77777777" w:rsidTr="00C74135">
        <w:trPr>
          <w:trHeight w:val="728"/>
        </w:trPr>
        <w:tc>
          <w:tcPr>
            <w:tcW w:w="4132" w:type="dxa"/>
            <w:vAlign w:val="center"/>
          </w:tcPr>
          <w:p w14:paraId="6B3CE4A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R307-303 Commercial Cooking </w:t>
            </w:r>
            <w:r w:rsidRPr="003037CD">
              <w:rPr>
                <w:rFonts w:ascii="Arial" w:eastAsia="Times New Roman" w:hAnsi="Arial" w:cs="Arial"/>
                <w:sz w:val="18"/>
                <w:szCs w:val="18"/>
                <w:vertAlign w:val="superscript"/>
              </w:rPr>
              <w:t>1</w:t>
            </w:r>
          </w:p>
          <w:p w14:paraId="1A1BD26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3862774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15, 2015</w:t>
            </w:r>
          </w:p>
          <w:p w14:paraId="3486C6CB" w14:textId="77777777" w:rsidR="003321D3" w:rsidRPr="003037CD" w:rsidRDefault="003321D3" w:rsidP="007A5BBA">
            <w:pPr>
              <w:rPr>
                <w:rFonts w:ascii="Arial" w:eastAsia="Times New Roman" w:hAnsi="Arial" w:cs="Arial"/>
                <w:sz w:val="18"/>
                <w:szCs w:val="18"/>
              </w:rPr>
            </w:pPr>
          </w:p>
        </w:tc>
      </w:tr>
      <w:tr w:rsidR="003321D3" w:rsidRPr="00322725" w14:paraId="309939B2" w14:textId="77777777" w:rsidTr="00C74135">
        <w:trPr>
          <w:trHeight w:val="458"/>
        </w:trPr>
        <w:tc>
          <w:tcPr>
            <w:tcW w:w="4132" w:type="dxa"/>
            <w:vAlign w:val="center"/>
          </w:tcPr>
          <w:p w14:paraId="5EC54B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R307-304 Solvent Cleaning</w:t>
            </w:r>
            <w:r w:rsidRPr="003037CD">
              <w:rPr>
                <w:rFonts w:ascii="Arial" w:eastAsia="Times New Roman" w:hAnsi="Arial" w:cs="Arial"/>
                <w:sz w:val="18"/>
                <w:szCs w:val="18"/>
                <w:vertAlign w:val="superscript"/>
              </w:rPr>
              <w:t xml:space="preserve"> 1</w:t>
            </w:r>
          </w:p>
        </w:tc>
        <w:tc>
          <w:tcPr>
            <w:tcW w:w="4436" w:type="dxa"/>
            <w:vAlign w:val="center"/>
          </w:tcPr>
          <w:p w14:paraId="51EA9D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6, 2017</w:t>
            </w:r>
          </w:p>
        </w:tc>
      </w:tr>
      <w:tr w:rsidR="003321D3" w:rsidRPr="00322725" w14:paraId="6D754599" w14:textId="77777777" w:rsidTr="00C74135">
        <w:trPr>
          <w:trHeight w:val="1358"/>
        </w:trPr>
        <w:tc>
          <w:tcPr>
            <w:tcW w:w="4132" w:type="dxa"/>
            <w:vAlign w:val="center"/>
          </w:tcPr>
          <w:p w14:paraId="0147404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R307-307 Road Salting and Sanding</w:t>
            </w:r>
          </w:p>
          <w:p w14:paraId="257A8D4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989FB29" w14:textId="77777777" w:rsidR="003321D3" w:rsidRPr="003037CD" w:rsidRDefault="00100E82" w:rsidP="007A5BBA">
            <w:pPr>
              <w:rPr>
                <w:rFonts w:ascii="Arial" w:eastAsia="Times New Roman" w:hAnsi="Arial" w:cs="Arial"/>
                <w:sz w:val="18"/>
                <w:szCs w:val="18"/>
              </w:rPr>
            </w:pPr>
            <w:r w:rsidRPr="00100E82">
              <w:rPr>
                <w:rFonts w:ascii="Arial" w:eastAsia="Times New Roman" w:hAnsi="Arial" w:cs="Arial"/>
                <w:sz w:val="18"/>
                <w:szCs w:val="18"/>
              </w:rPr>
              <w:t>January 1, 2014</w:t>
            </w:r>
          </w:p>
        </w:tc>
      </w:tr>
      <w:tr w:rsidR="003321D3" w:rsidRPr="00322725" w14:paraId="6DECBB92" w14:textId="77777777" w:rsidTr="00C74135">
        <w:trPr>
          <w:trHeight w:val="1358"/>
        </w:trPr>
        <w:tc>
          <w:tcPr>
            <w:tcW w:w="4132" w:type="dxa"/>
            <w:vAlign w:val="center"/>
          </w:tcPr>
          <w:p w14:paraId="46FBDDB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R307-309 Nonattainment and Maintenance Areas for PM</w:t>
            </w:r>
            <w:r w:rsidRPr="003037CD">
              <w:rPr>
                <w:rFonts w:ascii="Arial" w:eastAsia="Times New Roman" w:hAnsi="Arial" w:cs="Arial"/>
                <w:sz w:val="18"/>
                <w:szCs w:val="18"/>
                <w:vertAlign w:val="subscript"/>
              </w:rPr>
              <w:t>10</w:t>
            </w:r>
            <w:r w:rsidRPr="003037CD">
              <w:rPr>
                <w:rFonts w:ascii="Arial" w:eastAsia="Times New Roman" w:hAnsi="Arial" w:cs="Arial"/>
                <w:sz w:val="18"/>
                <w:szCs w:val="18"/>
              </w:rPr>
              <w:t xml:space="preserve"> and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Fugitive Emissions and Fugitive Dust </w:t>
            </w:r>
            <w:r w:rsidRPr="003037CD">
              <w:rPr>
                <w:rFonts w:ascii="Arial" w:eastAsia="Times New Roman" w:hAnsi="Arial" w:cs="Arial"/>
                <w:sz w:val="18"/>
                <w:szCs w:val="18"/>
                <w:vertAlign w:val="superscript"/>
              </w:rPr>
              <w:t>1</w:t>
            </w:r>
          </w:p>
          <w:p w14:paraId="47768FE0" w14:textId="77777777" w:rsidR="003321D3" w:rsidRPr="003037CD" w:rsidRDefault="00947721" w:rsidP="00947721">
            <w:pPr>
              <w:rPr>
                <w:rFonts w:ascii="Arial" w:eastAsia="Times New Roman" w:hAnsi="Arial" w:cs="Arial"/>
                <w:sz w:val="18"/>
                <w:szCs w:val="18"/>
              </w:rPr>
            </w:pPr>
            <w:r w:rsidRPr="003037CD">
              <w:rPr>
                <w:rFonts w:ascii="Arial" w:eastAsia="Times New Roman" w:hAnsi="Arial" w:cs="Arial"/>
                <w:sz w:val="18"/>
                <w:szCs w:val="18"/>
              </w:rPr>
              <w:t>EPA proposed for approval September 14, 2017 (82 FR 43205</w:t>
            </w:r>
            <w:r w:rsidR="003321D3" w:rsidRPr="003037CD">
              <w:rPr>
                <w:rFonts w:ascii="Arial" w:eastAsia="Times New Roman" w:hAnsi="Arial" w:cs="Arial"/>
                <w:sz w:val="18"/>
                <w:szCs w:val="18"/>
              </w:rPr>
              <w:t>).</w:t>
            </w:r>
          </w:p>
        </w:tc>
        <w:tc>
          <w:tcPr>
            <w:tcW w:w="4436" w:type="dxa"/>
            <w:vAlign w:val="center"/>
          </w:tcPr>
          <w:p w14:paraId="2A7A53A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Salt Lake County, Utah County, and the City of Ogden – January 1, 2013.</w:t>
            </w:r>
          </w:p>
          <w:p w14:paraId="31E7E7E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Remaining NAAs – April 1, 2013.</w:t>
            </w:r>
          </w:p>
          <w:p w14:paraId="28B7CE7A" w14:textId="77777777" w:rsidR="003321D3" w:rsidRPr="003037CD" w:rsidRDefault="003321D3" w:rsidP="007A5BBA">
            <w:pPr>
              <w:rPr>
                <w:rFonts w:ascii="Arial" w:eastAsia="Times New Roman" w:hAnsi="Arial" w:cs="Arial"/>
                <w:sz w:val="18"/>
                <w:szCs w:val="18"/>
              </w:rPr>
            </w:pPr>
          </w:p>
          <w:p w14:paraId="2E78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August 4, 2017</w:t>
            </w:r>
          </w:p>
        </w:tc>
      </w:tr>
      <w:tr w:rsidR="003321D3" w:rsidRPr="00322725" w14:paraId="51B94569" w14:textId="77777777" w:rsidTr="00C74135">
        <w:trPr>
          <w:trHeight w:val="1088"/>
        </w:trPr>
        <w:tc>
          <w:tcPr>
            <w:tcW w:w="4132" w:type="dxa"/>
            <w:vAlign w:val="center"/>
          </w:tcPr>
          <w:p w14:paraId="2DE4B81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R307-312 Aggregate Processing Operations for PM</w:t>
            </w:r>
            <w:r w:rsidRPr="003037CD">
              <w:rPr>
                <w:rFonts w:ascii="Arial" w:eastAsia="Times New Roman" w:hAnsi="Arial" w:cs="Arial"/>
                <w:sz w:val="18"/>
                <w:szCs w:val="18"/>
                <w:vertAlign w:val="subscript"/>
              </w:rPr>
              <w:t>2.5</w:t>
            </w:r>
            <w:r w:rsidRPr="003037CD">
              <w:rPr>
                <w:rFonts w:ascii="Arial" w:eastAsia="Times New Roman" w:hAnsi="Arial" w:cs="Arial"/>
                <w:sz w:val="18"/>
                <w:szCs w:val="18"/>
              </w:rPr>
              <w:t xml:space="preserve"> Nonattainment Areas.</w:t>
            </w:r>
          </w:p>
          <w:p w14:paraId="3A7815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October 19, 2016 (81 FR 71988).</w:t>
            </w:r>
          </w:p>
        </w:tc>
        <w:tc>
          <w:tcPr>
            <w:tcW w:w="4436" w:type="dxa"/>
            <w:vAlign w:val="center"/>
          </w:tcPr>
          <w:p w14:paraId="2BED82A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February 4, 2016</w:t>
            </w:r>
          </w:p>
        </w:tc>
      </w:tr>
      <w:tr w:rsidR="003321D3" w:rsidRPr="00322725" w14:paraId="279C3729" w14:textId="77777777" w:rsidTr="00C74135">
        <w:trPr>
          <w:trHeight w:val="2762"/>
        </w:trPr>
        <w:tc>
          <w:tcPr>
            <w:tcW w:w="4132" w:type="dxa"/>
            <w:vAlign w:val="center"/>
          </w:tcPr>
          <w:p w14:paraId="4BA8AEB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R307-335 Degreasing and Solvent Cleaning Operations </w:t>
            </w:r>
            <w:r w:rsidRPr="003037CD">
              <w:rPr>
                <w:rFonts w:ascii="Arial" w:eastAsia="Times New Roman" w:hAnsi="Arial" w:cs="Arial"/>
                <w:sz w:val="18"/>
                <w:szCs w:val="18"/>
                <w:vertAlign w:val="superscript"/>
              </w:rPr>
              <w:t>1</w:t>
            </w:r>
          </w:p>
          <w:p w14:paraId="2142F5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E04F7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Salt Lake and Davis Counties R307-335-3 through R307-335-6 – January 1, 2013.</w:t>
            </w:r>
          </w:p>
          <w:p w14:paraId="5855A36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other sources defined in R307-335-2 – September 1, 2013.</w:t>
            </w:r>
          </w:p>
          <w:p w14:paraId="686AAD7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All sources within Box Elder, Cache, Utah, Weber, and Tooele Counties R307-335-7 – August 1, 2014</w:t>
            </w:r>
          </w:p>
          <w:p w14:paraId="5F8C87AA" w14:textId="77777777" w:rsidR="003321D3" w:rsidRPr="003037CD" w:rsidRDefault="003321D3" w:rsidP="007A5BBA">
            <w:pPr>
              <w:rPr>
                <w:rFonts w:ascii="Arial" w:eastAsia="Times New Roman" w:hAnsi="Arial" w:cs="Arial"/>
                <w:sz w:val="18"/>
                <w:szCs w:val="18"/>
              </w:rPr>
            </w:pPr>
          </w:p>
          <w:p w14:paraId="2D3D66C4" w14:textId="54BFA713"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October 29, 2017</w:t>
            </w:r>
            <w:r w:rsidR="00EC24BC">
              <w:rPr>
                <w:rFonts w:ascii="Arial" w:eastAsia="Times New Roman" w:hAnsi="Arial" w:cs="Arial"/>
                <w:sz w:val="18"/>
                <w:szCs w:val="18"/>
              </w:rPr>
              <w:t>,</w:t>
            </w:r>
            <w:r w:rsidRPr="003037CD">
              <w:rPr>
                <w:rFonts w:ascii="Arial" w:eastAsia="Times New Roman" w:hAnsi="Arial" w:cs="Arial"/>
                <w:sz w:val="18"/>
                <w:szCs w:val="18"/>
              </w:rPr>
              <w:t xml:space="preserve"> by removing sections 6 &amp; 7 to for rule R307-304</w:t>
            </w:r>
          </w:p>
        </w:tc>
      </w:tr>
      <w:tr w:rsidR="003321D3" w:rsidRPr="00322725" w14:paraId="492D6173" w14:textId="77777777" w:rsidTr="00C74135">
        <w:trPr>
          <w:trHeight w:val="827"/>
        </w:trPr>
        <w:tc>
          <w:tcPr>
            <w:tcW w:w="4132" w:type="dxa"/>
            <w:vAlign w:val="center"/>
          </w:tcPr>
          <w:p w14:paraId="2EFCDE1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R307-342 Adhesives &amp; Sealants </w:t>
            </w:r>
            <w:r w:rsidRPr="003037CD">
              <w:rPr>
                <w:rFonts w:ascii="Arial" w:eastAsia="Times New Roman" w:hAnsi="Arial" w:cs="Arial"/>
                <w:sz w:val="18"/>
                <w:szCs w:val="18"/>
                <w:vertAlign w:val="superscript"/>
              </w:rPr>
              <w:t>1</w:t>
            </w:r>
          </w:p>
          <w:p w14:paraId="35E0C2B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A99CB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December 1, 2014</w:t>
            </w:r>
          </w:p>
        </w:tc>
      </w:tr>
      <w:tr w:rsidR="003321D3" w:rsidRPr="00322725" w14:paraId="74B0B90C" w14:textId="77777777" w:rsidTr="00C74135">
        <w:trPr>
          <w:trHeight w:val="1592"/>
        </w:trPr>
        <w:tc>
          <w:tcPr>
            <w:tcW w:w="4132" w:type="dxa"/>
            <w:vAlign w:val="center"/>
          </w:tcPr>
          <w:p w14:paraId="6D00660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R307-343 Emissions Standards for Wood Furniture Manufacturing Operations </w:t>
            </w:r>
            <w:r w:rsidRPr="003037CD">
              <w:rPr>
                <w:rFonts w:ascii="Arial" w:eastAsia="Times New Roman" w:hAnsi="Arial" w:cs="Arial"/>
                <w:sz w:val="18"/>
                <w:szCs w:val="18"/>
                <w:vertAlign w:val="superscript"/>
              </w:rPr>
              <w:t>1</w:t>
            </w:r>
          </w:p>
          <w:p w14:paraId="4356C79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33332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0E2C4D1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495A226" w14:textId="77777777" w:rsidR="003321D3" w:rsidRPr="003037CD" w:rsidRDefault="003321D3" w:rsidP="007A5BBA">
            <w:pPr>
              <w:rPr>
                <w:rFonts w:ascii="Arial" w:eastAsia="Times New Roman" w:hAnsi="Arial" w:cs="Arial"/>
                <w:sz w:val="18"/>
                <w:szCs w:val="18"/>
              </w:rPr>
            </w:pPr>
          </w:p>
          <w:p w14:paraId="0B7A7A4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68EFC398" w14:textId="77777777" w:rsidTr="00C74135">
        <w:trPr>
          <w:trHeight w:val="1637"/>
        </w:trPr>
        <w:tc>
          <w:tcPr>
            <w:tcW w:w="4132" w:type="dxa"/>
            <w:vAlign w:val="center"/>
          </w:tcPr>
          <w:p w14:paraId="3AB7EC5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R307-344 Paper, Film &amp; Foil Coatings </w:t>
            </w:r>
            <w:r w:rsidRPr="003037CD">
              <w:rPr>
                <w:rFonts w:ascii="Arial" w:eastAsia="Times New Roman" w:hAnsi="Arial" w:cs="Arial"/>
                <w:sz w:val="18"/>
                <w:szCs w:val="18"/>
                <w:vertAlign w:val="superscript"/>
              </w:rPr>
              <w:t>1</w:t>
            </w:r>
          </w:p>
          <w:p w14:paraId="3CF3479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5C0E07E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1511A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3F606FD6" w14:textId="77777777" w:rsidR="003321D3" w:rsidRPr="003037CD" w:rsidRDefault="003321D3" w:rsidP="007A5BBA">
            <w:pPr>
              <w:rPr>
                <w:rFonts w:ascii="Arial" w:eastAsia="Times New Roman" w:hAnsi="Arial" w:cs="Arial"/>
                <w:sz w:val="18"/>
                <w:szCs w:val="18"/>
              </w:rPr>
            </w:pPr>
          </w:p>
          <w:p w14:paraId="71AF30C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0A402DCB" w14:textId="77777777" w:rsidTr="00C74135">
        <w:trPr>
          <w:trHeight w:val="1700"/>
        </w:trPr>
        <w:tc>
          <w:tcPr>
            <w:tcW w:w="4132" w:type="dxa"/>
            <w:vAlign w:val="center"/>
          </w:tcPr>
          <w:p w14:paraId="512F952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R307-345 Fabric &amp; Vinyl Coatings </w:t>
            </w:r>
            <w:r w:rsidRPr="003037CD">
              <w:rPr>
                <w:rFonts w:ascii="Arial" w:eastAsia="Times New Roman" w:hAnsi="Arial" w:cs="Arial"/>
                <w:sz w:val="18"/>
                <w:szCs w:val="18"/>
                <w:vertAlign w:val="superscript"/>
              </w:rPr>
              <w:t>1</w:t>
            </w:r>
          </w:p>
          <w:p w14:paraId="2978F6F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A661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29ECDA9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2011.</w:t>
            </w:r>
          </w:p>
          <w:p w14:paraId="7E89C71C" w14:textId="77777777" w:rsidR="003321D3" w:rsidRPr="003037CD" w:rsidRDefault="003321D3" w:rsidP="007A5BBA">
            <w:pPr>
              <w:rPr>
                <w:rFonts w:ascii="Arial" w:eastAsia="Times New Roman" w:hAnsi="Arial" w:cs="Arial"/>
                <w:sz w:val="18"/>
                <w:szCs w:val="18"/>
              </w:rPr>
            </w:pPr>
          </w:p>
          <w:p w14:paraId="06A8869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732CAAC" w14:textId="77777777" w:rsidTr="00C74135">
        <w:trPr>
          <w:trHeight w:val="1682"/>
        </w:trPr>
        <w:tc>
          <w:tcPr>
            <w:tcW w:w="4132" w:type="dxa"/>
            <w:vAlign w:val="center"/>
          </w:tcPr>
          <w:p w14:paraId="5B297D8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R307-346 Metal Furniture Surface Coatings </w:t>
            </w:r>
            <w:r w:rsidRPr="003037CD">
              <w:rPr>
                <w:rFonts w:ascii="Arial" w:eastAsia="Times New Roman" w:hAnsi="Arial" w:cs="Arial"/>
                <w:sz w:val="18"/>
                <w:szCs w:val="18"/>
                <w:vertAlign w:val="superscript"/>
              </w:rPr>
              <w:t>2</w:t>
            </w:r>
          </w:p>
          <w:p w14:paraId="61C20B3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C3464D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310E5B1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ECA1F83" w14:textId="77777777" w:rsidR="003321D3" w:rsidRPr="003037CD" w:rsidRDefault="003321D3" w:rsidP="007A5BBA">
            <w:pPr>
              <w:rPr>
                <w:rFonts w:ascii="Arial" w:eastAsia="Times New Roman" w:hAnsi="Arial" w:cs="Arial"/>
                <w:sz w:val="18"/>
                <w:szCs w:val="18"/>
              </w:rPr>
            </w:pPr>
          </w:p>
          <w:p w14:paraId="7B278C0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3C5DCD9A" w14:textId="77777777" w:rsidTr="00C74135">
        <w:trPr>
          <w:trHeight w:val="1619"/>
        </w:trPr>
        <w:tc>
          <w:tcPr>
            <w:tcW w:w="4132" w:type="dxa"/>
            <w:vAlign w:val="center"/>
          </w:tcPr>
          <w:p w14:paraId="3295E6E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R307-347 Large Appliance Surface Coatings </w:t>
            </w:r>
            <w:r w:rsidRPr="003037CD">
              <w:rPr>
                <w:rFonts w:ascii="Arial" w:eastAsia="Times New Roman" w:hAnsi="Arial" w:cs="Arial"/>
                <w:sz w:val="18"/>
                <w:szCs w:val="18"/>
                <w:vertAlign w:val="superscript"/>
              </w:rPr>
              <w:t>2</w:t>
            </w:r>
            <w:r w:rsidRPr="003037CD">
              <w:rPr>
                <w:rFonts w:ascii="Arial" w:eastAsia="Times New Roman" w:hAnsi="Arial" w:cs="Arial"/>
                <w:sz w:val="18"/>
                <w:szCs w:val="18"/>
              </w:rPr>
              <w:t xml:space="preserve"> </w:t>
            </w:r>
          </w:p>
          <w:p w14:paraId="3BC7EB2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F95430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1C3A750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9A7B090" w14:textId="77777777" w:rsidR="003321D3" w:rsidRPr="003037CD" w:rsidRDefault="003321D3" w:rsidP="007A5BBA">
            <w:pPr>
              <w:rPr>
                <w:rFonts w:ascii="Arial" w:eastAsia="Times New Roman" w:hAnsi="Arial" w:cs="Arial"/>
                <w:sz w:val="18"/>
                <w:szCs w:val="18"/>
              </w:rPr>
            </w:pPr>
          </w:p>
          <w:p w14:paraId="012D27D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D9A1436" w14:textId="77777777" w:rsidTr="00C74135">
        <w:trPr>
          <w:trHeight w:val="1709"/>
        </w:trPr>
        <w:tc>
          <w:tcPr>
            <w:tcW w:w="4132" w:type="dxa"/>
            <w:vAlign w:val="center"/>
          </w:tcPr>
          <w:p w14:paraId="75A561C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R307-348 Magnet Wire Coatings</w:t>
            </w:r>
            <w:r w:rsidRPr="003037CD">
              <w:rPr>
                <w:rFonts w:ascii="Arial" w:eastAsia="Times New Roman" w:hAnsi="Arial" w:cs="Arial"/>
                <w:sz w:val="18"/>
                <w:szCs w:val="18"/>
                <w:vertAlign w:val="superscript"/>
              </w:rPr>
              <w:t xml:space="preserve"> 2</w:t>
            </w:r>
          </w:p>
          <w:p w14:paraId="64A472D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3D5BB3B"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97C913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0ADBA919" w14:textId="77777777" w:rsidR="003321D3" w:rsidRPr="003037CD" w:rsidRDefault="003321D3" w:rsidP="007A5BBA">
            <w:pPr>
              <w:rPr>
                <w:rFonts w:ascii="Arial" w:eastAsia="Times New Roman" w:hAnsi="Arial" w:cs="Arial"/>
                <w:sz w:val="18"/>
                <w:szCs w:val="18"/>
              </w:rPr>
            </w:pPr>
          </w:p>
          <w:p w14:paraId="27F2EDD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922A5B2" w14:textId="77777777" w:rsidTr="00C74135">
        <w:trPr>
          <w:trHeight w:val="1745"/>
        </w:trPr>
        <w:tc>
          <w:tcPr>
            <w:tcW w:w="4132" w:type="dxa"/>
            <w:vAlign w:val="center"/>
          </w:tcPr>
          <w:p w14:paraId="0B0638A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R307-349 Flat Wood Panel Coatings </w:t>
            </w:r>
            <w:r w:rsidRPr="003037CD">
              <w:rPr>
                <w:rFonts w:ascii="Arial" w:eastAsia="Times New Roman" w:hAnsi="Arial" w:cs="Arial"/>
                <w:sz w:val="18"/>
                <w:szCs w:val="18"/>
                <w:vertAlign w:val="superscript"/>
              </w:rPr>
              <w:t>1</w:t>
            </w:r>
          </w:p>
          <w:p w14:paraId="08B9359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44AB00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0050279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1E0C3316" w14:textId="77777777" w:rsidR="003321D3" w:rsidRPr="003037CD" w:rsidRDefault="003321D3" w:rsidP="007A5BBA">
            <w:pPr>
              <w:rPr>
                <w:rFonts w:ascii="Arial" w:eastAsia="Times New Roman" w:hAnsi="Arial" w:cs="Arial"/>
                <w:sz w:val="18"/>
                <w:szCs w:val="18"/>
              </w:rPr>
            </w:pPr>
          </w:p>
          <w:p w14:paraId="55109B4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FA615D5" w14:textId="77777777" w:rsidTr="00C74135">
        <w:trPr>
          <w:trHeight w:val="1700"/>
        </w:trPr>
        <w:tc>
          <w:tcPr>
            <w:tcW w:w="4132" w:type="dxa"/>
            <w:vAlign w:val="center"/>
          </w:tcPr>
          <w:p w14:paraId="413B9DD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R307-350 Miscellaneous Metal Parts and Products Coatings </w:t>
            </w:r>
            <w:r w:rsidRPr="003037CD">
              <w:rPr>
                <w:rFonts w:ascii="Arial" w:eastAsia="Times New Roman" w:hAnsi="Arial" w:cs="Arial"/>
                <w:sz w:val="18"/>
                <w:szCs w:val="18"/>
                <w:vertAlign w:val="superscript"/>
              </w:rPr>
              <w:t>1</w:t>
            </w:r>
          </w:p>
          <w:p w14:paraId="27241F6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FD5460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September 1, 2013.</w:t>
            </w:r>
          </w:p>
          <w:p w14:paraId="23ED2AD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5C90D324" w14:textId="77777777" w:rsidR="003321D3" w:rsidRPr="003037CD" w:rsidRDefault="003321D3" w:rsidP="007A5BBA">
            <w:pPr>
              <w:rPr>
                <w:rFonts w:ascii="Arial" w:eastAsia="Times New Roman" w:hAnsi="Arial" w:cs="Arial"/>
                <w:sz w:val="18"/>
                <w:szCs w:val="18"/>
              </w:rPr>
            </w:pPr>
          </w:p>
          <w:p w14:paraId="3B00FAE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4E7FC9C" w14:textId="77777777" w:rsidTr="00C74135">
        <w:trPr>
          <w:trHeight w:val="1646"/>
        </w:trPr>
        <w:tc>
          <w:tcPr>
            <w:tcW w:w="4132" w:type="dxa"/>
            <w:vAlign w:val="center"/>
          </w:tcPr>
          <w:p w14:paraId="11A062C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R307-351 Graphic Arts</w:t>
            </w:r>
            <w:r w:rsidRPr="003037CD">
              <w:rPr>
                <w:rFonts w:ascii="Arial" w:eastAsia="Times New Roman" w:hAnsi="Arial" w:cs="Arial"/>
                <w:sz w:val="18"/>
                <w:szCs w:val="18"/>
                <w:vertAlign w:val="superscript"/>
              </w:rPr>
              <w:t xml:space="preserve"> 1</w:t>
            </w:r>
          </w:p>
          <w:p w14:paraId="50FA09F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35D1FE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Salt Lake and Davis Counties – February 1, 2013.</w:t>
            </w:r>
          </w:p>
          <w:p w14:paraId="469C915E"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Sources in Box Elder, Cache, Tooele, Utah, and Weber Counties – January 1, 2014.</w:t>
            </w:r>
          </w:p>
          <w:p w14:paraId="7F819770" w14:textId="77777777" w:rsidR="003321D3" w:rsidRPr="003037CD" w:rsidRDefault="003321D3" w:rsidP="007A5BBA">
            <w:pPr>
              <w:rPr>
                <w:rFonts w:ascii="Arial" w:eastAsia="Times New Roman" w:hAnsi="Arial" w:cs="Arial"/>
                <w:sz w:val="18"/>
                <w:szCs w:val="18"/>
              </w:rPr>
            </w:pPr>
          </w:p>
          <w:p w14:paraId="299BB1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271E8A80" w14:textId="77777777" w:rsidTr="00C74135">
        <w:trPr>
          <w:trHeight w:val="1061"/>
        </w:trPr>
        <w:tc>
          <w:tcPr>
            <w:tcW w:w="4132" w:type="dxa"/>
            <w:vAlign w:val="center"/>
          </w:tcPr>
          <w:p w14:paraId="62D2C5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R307-352 Metal Containers, Closure, and Coil Coatings </w:t>
            </w:r>
            <w:r w:rsidRPr="003037CD">
              <w:rPr>
                <w:rFonts w:ascii="Arial" w:eastAsia="Times New Roman" w:hAnsi="Arial" w:cs="Arial"/>
                <w:sz w:val="18"/>
                <w:szCs w:val="18"/>
                <w:vertAlign w:val="superscript"/>
              </w:rPr>
              <w:t>2</w:t>
            </w:r>
          </w:p>
          <w:p w14:paraId="4AF102F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1B0AC02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67A6187" w14:textId="77777777" w:rsidR="003321D3" w:rsidRPr="003037CD" w:rsidRDefault="003321D3" w:rsidP="007A5BBA">
            <w:pPr>
              <w:rPr>
                <w:rFonts w:ascii="Arial" w:eastAsia="Times New Roman" w:hAnsi="Arial" w:cs="Arial"/>
                <w:sz w:val="18"/>
                <w:szCs w:val="18"/>
              </w:rPr>
            </w:pPr>
          </w:p>
          <w:p w14:paraId="1FFC24D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1EA77FF2" w14:textId="77777777" w:rsidTr="00C74135">
        <w:trPr>
          <w:trHeight w:val="1007"/>
        </w:trPr>
        <w:tc>
          <w:tcPr>
            <w:tcW w:w="4132" w:type="dxa"/>
            <w:vAlign w:val="center"/>
          </w:tcPr>
          <w:p w14:paraId="59B41908"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R307-353 Plastic Parts Coatings </w:t>
            </w:r>
            <w:r w:rsidRPr="003037CD">
              <w:rPr>
                <w:rFonts w:ascii="Arial" w:eastAsia="Times New Roman" w:hAnsi="Arial" w:cs="Arial"/>
                <w:sz w:val="18"/>
                <w:szCs w:val="18"/>
                <w:vertAlign w:val="superscript"/>
              </w:rPr>
              <w:t>1</w:t>
            </w:r>
          </w:p>
          <w:p w14:paraId="6D311B26"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0FEB797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579EA89C" w14:textId="77777777" w:rsidR="003321D3" w:rsidRPr="003037CD" w:rsidRDefault="003321D3" w:rsidP="007A5BBA">
            <w:pPr>
              <w:rPr>
                <w:rFonts w:ascii="Arial" w:eastAsia="Times New Roman" w:hAnsi="Arial" w:cs="Arial"/>
                <w:sz w:val="18"/>
                <w:szCs w:val="18"/>
              </w:rPr>
            </w:pPr>
          </w:p>
          <w:p w14:paraId="7CB74A3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5AB3E523" w14:textId="77777777" w:rsidTr="00C74135">
        <w:trPr>
          <w:trHeight w:val="917"/>
        </w:trPr>
        <w:tc>
          <w:tcPr>
            <w:tcW w:w="4132" w:type="dxa"/>
            <w:vAlign w:val="center"/>
          </w:tcPr>
          <w:p w14:paraId="1AE417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R307-354 Automotive Refinishing Coatings </w:t>
            </w:r>
            <w:r w:rsidRPr="003037CD">
              <w:rPr>
                <w:rFonts w:ascii="Arial" w:eastAsia="Times New Roman" w:hAnsi="Arial" w:cs="Arial"/>
                <w:sz w:val="18"/>
                <w:szCs w:val="18"/>
                <w:vertAlign w:val="superscript"/>
              </w:rPr>
              <w:t>1</w:t>
            </w:r>
          </w:p>
          <w:p w14:paraId="3B6804EA"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09161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0457F7DA" w14:textId="77777777" w:rsidR="003321D3" w:rsidRPr="003037CD" w:rsidRDefault="003321D3" w:rsidP="007A5BBA">
            <w:pPr>
              <w:rPr>
                <w:rFonts w:ascii="Arial" w:eastAsia="Times New Roman" w:hAnsi="Arial" w:cs="Arial"/>
                <w:sz w:val="18"/>
                <w:szCs w:val="18"/>
              </w:rPr>
            </w:pPr>
          </w:p>
          <w:p w14:paraId="3DCC1E51"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December 6, 2017</w:t>
            </w:r>
          </w:p>
        </w:tc>
      </w:tr>
      <w:tr w:rsidR="003321D3" w:rsidRPr="00322725" w14:paraId="77663DBF" w14:textId="77777777" w:rsidTr="00C74135">
        <w:trPr>
          <w:trHeight w:val="1043"/>
        </w:trPr>
        <w:tc>
          <w:tcPr>
            <w:tcW w:w="4132" w:type="dxa"/>
            <w:vAlign w:val="center"/>
          </w:tcPr>
          <w:p w14:paraId="426A5624"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R307-355 Control of Emissions from Aerospace Manufacture and Rework Facilities</w:t>
            </w:r>
            <w:r w:rsidRPr="003037CD">
              <w:rPr>
                <w:rFonts w:ascii="Arial" w:eastAsia="Times New Roman" w:hAnsi="Arial" w:cs="Arial"/>
                <w:sz w:val="18"/>
                <w:szCs w:val="18"/>
                <w:vertAlign w:val="superscript"/>
              </w:rPr>
              <w:t xml:space="preserve"> 1</w:t>
            </w:r>
          </w:p>
          <w:p w14:paraId="04778889"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78BDA0F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2014</w:t>
            </w:r>
          </w:p>
          <w:p w14:paraId="1DD63D71" w14:textId="77777777" w:rsidR="003321D3" w:rsidRPr="003037CD" w:rsidRDefault="003321D3" w:rsidP="007A5BBA">
            <w:pPr>
              <w:rPr>
                <w:rFonts w:ascii="Arial" w:eastAsia="Times New Roman" w:hAnsi="Arial" w:cs="Arial"/>
                <w:sz w:val="18"/>
                <w:szCs w:val="18"/>
              </w:rPr>
            </w:pPr>
          </w:p>
          <w:p w14:paraId="3EFFD39F"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Amended March 8, 2018</w:t>
            </w:r>
          </w:p>
        </w:tc>
      </w:tr>
      <w:tr w:rsidR="003321D3" w:rsidRPr="00322725" w14:paraId="695BF950" w14:textId="77777777" w:rsidTr="00C74135">
        <w:trPr>
          <w:trHeight w:val="845"/>
        </w:trPr>
        <w:tc>
          <w:tcPr>
            <w:tcW w:w="4132" w:type="dxa"/>
            <w:vAlign w:val="center"/>
          </w:tcPr>
          <w:p w14:paraId="285BB110"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R307-356 Appliance Pilot Light </w:t>
            </w:r>
            <w:r w:rsidRPr="003037CD">
              <w:rPr>
                <w:rFonts w:ascii="Arial" w:eastAsia="Times New Roman" w:hAnsi="Arial" w:cs="Arial"/>
                <w:sz w:val="18"/>
                <w:szCs w:val="18"/>
                <w:vertAlign w:val="superscript"/>
              </w:rPr>
              <w:t>1</w:t>
            </w:r>
          </w:p>
          <w:p w14:paraId="60A48335"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224A84A3"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January 1, 2013</w:t>
            </w:r>
          </w:p>
          <w:p w14:paraId="1FCF28C6" w14:textId="77777777" w:rsidR="003321D3" w:rsidRPr="003037CD" w:rsidRDefault="003321D3" w:rsidP="007A5BBA">
            <w:pPr>
              <w:rPr>
                <w:rFonts w:ascii="Arial" w:eastAsia="Times New Roman" w:hAnsi="Arial" w:cs="Arial"/>
                <w:sz w:val="18"/>
                <w:szCs w:val="18"/>
              </w:rPr>
            </w:pPr>
          </w:p>
        </w:tc>
      </w:tr>
      <w:tr w:rsidR="003321D3" w:rsidRPr="00322725" w14:paraId="2FA023CC" w14:textId="77777777" w:rsidTr="00C74135">
        <w:trPr>
          <w:trHeight w:val="980"/>
        </w:trPr>
        <w:tc>
          <w:tcPr>
            <w:tcW w:w="4132" w:type="dxa"/>
            <w:vAlign w:val="center"/>
          </w:tcPr>
          <w:p w14:paraId="0878538C"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 xml:space="preserve">R307-357 Consumer Products </w:t>
            </w:r>
            <w:r w:rsidRPr="003037CD">
              <w:rPr>
                <w:rFonts w:ascii="Arial" w:eastAsia="Times New Roman" w:hAnsi="Arial" w:cs="Arial"/>
                <w:sz w:val="18"/>
                <w:szCs w:val="18"/>
                <w:vertAlign w:val="superscript"/>
              </w:rPr>
              <w:t>1</w:t>
            </w:r>
          </w:p>
          <w:p w14:paraId="0B29E16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60B8E117"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May 8, 2014</w:t>
            </w:r>
          </w:p>
        </w:tc>
      </w:tr>
      <w:tr w:rsidR="003321D3" w:rsidRPr="00322725" w14:paraId="05F99684" w14:textId="77777777" w:rsidTr="00C74135">
        <w:trPr>
          <w:trHeight w:val="962"/>
        </w:trPr>
        <w:tc>
          <w:tcPr>
            <w:tcW w:w="4132" w:type="dxa"/>
            <w:vAlign w:val="center"/>
          </w:tcPr>
          <w:p w14:paraId="2D8A06ED"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R307-361 Architectural Coatings</w:t>
            </w:r>
            <w:r w:rsidRPr="003037CD">
              <w:rPr>
                <w:rFonts w:ascii="Arial" w:eastAsia="Times New Roman" w:hAnsi="Arial" w:cs="Arial"/>
                <w:sz w:val="18"/>
                <w:szCs w:val="18"/>
                <w:vertAlign w:val="superscript"/>
              </w:rPr>
              <w:t xml:space="preserve"> 1</w:t>
            </w:r>
          </w:p>
          <w:p w14:paraId="23388652" w14:textId="77777777" w:rsidR="003321D3" w:rsidRPr="003037CD" w:rsidRDefault="003321D3" w:rsidP="007A5BBA">
            <w:pPr>
              <w:rPr>
                <w:rFonts w:ascii="Arial" w:eastAsia="Times New Roman" w:hAnsi="Arial" w:cs="Arial"/>
                <w:sz w:val="18"/>
                <w:szCs w:val="18"/>
              </w:rPr>
            </w:pPr>
            <w:r w:rsidRPr="003037CD">
              <w:rPr>
                <w:rFonts w:ascii="Arial" w:eastAsia="Times New Roman" w:hAnsi="Arial" w:cs="Arial"/>
                <w:sz w:val="18"/>
                <w:szCs w:val="18"/>
              </w:rPr>
              <w:t>EPA approved February 25, 2016 (81 FR 9343)</w:t>
            </w:r>
          </w:p>
        </w:tc>
        <w:tc>
          <w:tcPr>
            <w:tcW w:w="4436" w:type="dxa"/>
            <w:vAlign w:val="center"/>
          </w:tcPr>
          <w:p w14:paraId="4A85B18F" w14:textId="77777777" w:rsidR="003321D3" w:rsidRPr="003037CD" w:rsidRDefault="003321D3" w:rsidP="005C258A">
            <w:pPr>
              <w:keepNext/>
              <w:rPr>
                <w:rFonts w:ascii="Arial" w:eastAsia="Times New Roman" w:hAnsi="Arial" w:cs="Arial"/>
                <w:sz w:val="18"/>
                <w:szCs w:val="18"/>
              </w:rPr>
            </w:pPr>
            <w:r w:rsidRPr="003037CD">
              <w:rPr>
                <w:rFonts w:ascii="Arial" w:eastAsia="Times New Roman" w:hAnsi="Arial" w:cs="Arial"/>
                <w:sz w:val="18"/>
                <w:szCs w:val="18"/>
              </w:rPr>
              <w:t>October 31, 2013</w:t>
            </w:r>
          </w:p>
        </w:tc>
      </w:tr>
    </w:tbl>
    <w:p w14:paraId="19043AB1" w14:textId="52244148" w:rsidR="005C258A" w:rsidRDefault="005C258A">
      <w:pPr>
        <w:pStyle w:val="Caption"/>
      </w:pPr>
      <w:bookmarkStart w:id="21" w:name="_Toc17201278"/>
      <w:bookmarkStart w:id="22" w:name="_Toc10186277"/>
      <w:bookmarkStart w:id="23" w:name="_Toc15906991"/>
      <w:r>
        <w:t xml:space="preserve">Table IX.A.27. </w:t>
      </w:r>
      <w:fldSimple w:instr=" SEQ Table_IX.A.27. \* ARABIC ">
        <w:r w:rsidR="00C012A9">
          <w:rPr>
            <w:noProof/>
          </w:rPr>
          <w:t>4</w:t>
        </w:r>
      </w:fldSimple>
      <w:r w:rsidRPr="005C258A">
        <w:t xml:space="preserve"> </w:t>
      </w:r>
      <w:r w:rsidRPr="005D5B75">
        <w:t xml:space="preserve">Area </w:t>
      </w:r>
      <w:r w:rsidR="00CE5E03">
        <w:t>S</w:t>
      </w:r>
      <w:r w:rsidRPr="005D5B75">
        <w:t xml:space="preserve">ource </w:t>
      </w:r>
      <w:r w:rsidR="00CE5E03">
        <w:t>R</w:t>
      </w:r>
      <w:r w:rsidRPr="005D5B75">
        <w:t xml:space="preserve">ules </w:t>
      </w:r>
      <w:r w:rsidR="00CE5E03">
        <w:t>I</w:t>
      </w:r>
      <w:r w:rsidRPr="005D5B75">
        <w:t xml:space="preserve">mplementation </w:t>
      </w:r>
      <w:r w:rsidR="00CE5E03">
        <w:t>S</w:t>
      </w:r>
      <w:r w:rsidRPr="005D5B75">
        <w:t xml:space="preserve">chedule and EPA </w:t>
      </w:r>
      <w:r w:rsidR="00CE5E03">
        <w:t>A</w:t>
      </w:r>
      <w:r w:rsidRPr="005D5B75">
        <w:t xml:space="preserve">pproval </w:t>
      </w:r>
      <w:r w:rsidR="00CE5E03">
        <w:t>S</w:t>
      </w:r>
      <w:r w:rsidRPr="005D5B75">
        <w:t>tatus</w:t>
      </w:r>
      <w:bookmarkEnd w:id="21"/>
    </w:p>
    <w:bookmarkEnd w:id="22"/>
    <w:bookmarkEnd w:id="23"/>
    <w:p w14:paraId="74A3B06C" w14:textId="77777777" w:rsidR="007B7915" w:rsidRDefault="007B7915" w:rsidP="007B7915">
      <w:pPr>
        <w:spacing w:after="0" w:line="240" w:lineRule="auto"/>
        <w:rPr>
          <w:iCs/>
        </w:rPr>
      </w:pPr>
      <w:r w:rsidRPr="0033112D">
        <w:rPr>
          <w:iCs/>
          <w:vertAlign w:val="superscript"/>
        </w:rPr>
        <w:t>1</w:t>
      </w:r>
      <w:r w:rsidRPr="0033112D">
        <w:rPr>
          <w:iCs/>
        </w:rPr>
        <w:t xml:space="preserve"> control measure implementation schedule and confirmation that measures have been implemented </w:t>
      </w:r>
    </w:p>
    <w:p w14:paraId="46B41625" w14:textId="77777777" w:rsidR="007B7915" w:rsidRDefault="007B7915" w:rsidP="007B7915">
      <w:pPr>
        <w:spacing w:after="0" w:line="240" w:lineRule="auto"/>
        <w:rPr>
          <w:iCs/>
        </w:rPr>
      </w:pPr>
      <w:r w:rsidRPr="0033112D">
        <w:rPr>
          <w:iCs/>
          <w:vertAlign w:val="superscript"/>
        </w:rPr>
        <w:t>2</w:t>
      </w:r>
      <w:r w:rsidRPr="0033112D">
        <w:rPr>
          <w:iCs/>
        </w:rPr>
        <w:t xml:space="preserve"> control measure implementation schedule and review if any new sources located in the NAA</w:t>
      </w:r>
    </w:p>
    <w:p w14:paraId="0A416BD4" w14:textId="254431A2" w:rsidR="008931AF" w:rsidRPr="0033112D" w:rsidRDefault="008931AF" w:rsidP="008931AF">
      <w:pPr>
        <w:spacing w:after="0" w:line="240" w:lineRule="auto"/>
        <w:rPr>
          <w:iCs/>
        </w:rPr>
      </w:pPr>
      <w:r>
        <w:rPr>
          <w:iCs/>
        </w:rPr>
        <w:t xml:space="preserve">*UDAQ submitted the </w:t>
      </w:r>
      <w:r w:rsidRPr="003140BC">
        <w:rPr>
          <w:iCs/>
        </w:rPr>
        <w:t>committed revisions on February 1, 2017, within the</w:t>
      </w:r>
      <w:r>
        <w:rPr>
          <w:iCs/>
        </w:rPr>
        <w:t xml:space="preserve"> one</w:t>
      </w:r>
      <w:r w:rsidR="00595EE6">
        <w:rPr>
          <w:iCs/>
        </w:rPr>
        <w:t>-</w:t>
      </w:r>
      <w:r>
        <w:rPr>
          <w:iCs/>
        </w:rPr>
        <w:t xml:space="preserve">year conditional approval </w:t>
      </w:r>
      <w:r w:rsidR="00060866">
        <w:rPr>
          <w:iCs/>
        </w:rPr>
        <w:t>window</w:t>
      </w:r>
    </w:p>
    <w:p w14:paraId="05C26D79" w14:textId="3710600C" w:rsidR="007B7915" w:rsidRPr="0033112D" w:rsidRDefault="007B7915" w:rsidP="007B7915">
      <w:pPr>
        <w:spacing w:after="0" w:line="240" w:lineRule="auto"/>
        <w:rPr>
          <w:iCs/>
        </w:rPr>
      </w:pPr>
    </w:p>
    <w:p w14:paraId="331570A2" w14:textId="4F81321A" w:rsidR="00637BD4" w:rsidRPr="00162346" w:rsidRDefault="00637BD4" w:rsidP="00637BD4">
      <w:pPr>
        <w:rPr>
          <w:color w:val="FF0000"/>
        </w:rPr>
      </w:pPr>
      <w:r w:rsidRPr="00A36072">
        <w:t>The clean data determinati</w:t>
      </w:r>
      <w:r>
        <w:t xml:space="preserve">on </w:t>
      </w:r>
      <w:r w:rsidRPr="00A36072">
        <w:t>has suspended</w:t>
      </w:r>
      <w:r w:rsidRPr="00EF2C3F">
        <w:t xml:space="preserve"> all other elements of the </w:t>
      </w:r>
      <w:r w:rsidRPr="00637BD4">
        <w:rPr>
          <w:color w:val="00B050"/>
        </w:rPr>
        <w:t>Provo NAA</w:t>
      </w:r>
      <w:r w:rsidRPr="00EF2C3F">
        <w:t xml:space="preserve"> PM</w:t>
      </w:r>
      <w:r w:rsidRPr="00EF2C3F">
        <w:rPr>
          <w:vertAlign w:val="subscript"/>
        </w:rPr>
        <w:t>2.5</w:t>
      </w:r>
      <w:r>
        <w:rPr>
          <w:vertAlign w:val="subscript"/>
        </w:rPr>
        <w:t xml:space="preserve"> </w:t>
      </w:r>
      <w:r w:rsidRPr="00EF2C3F">
        <w:t xml:space="preserve">attainment plan, </w:t>
      </w:r>
      <w:r w:rsidRPr="00882975">
        <w:t>including reasonable further progress (RFP) plans, quantitative milestones, and contingency measures at this time.</w:t>
      </w:r>
      <w:r w:rsidRPr="00882975">
        <w:rPr>
          <w:rFonts w:cs="Times New Roman"/>
        </w:rPr>
        <w:t xml:space="preserve"> Considering the suspended SIP elements through the clean data policy and the approval or expected approval of required elements, Utah has met requirement 107(d)(3)(E)(ii) for the </w:t>
      </w:r>
      <w:r w:rsidRPr="00637BD4">
        <w:rPr>
          <w:rFonts w:cs="Times New Roman"/>
          <w:color w:val="00B050"/>
        </w:rPr>
        <w:t>Provo NAA</w:t>
      </w:r>
      <w:r w:rsidRPr="00882975">
        <w:rPr>
          <w:rFonts w:cs="Times New Roman"/>
        </w:rPr>
        <w:t>.</w:t>
      </w:r>
    </w:p>
    <w:p w14:paraId="72A76719" w14:textId="140E2181" w:rsidR="00083D6C" w:rsidRPr="0091174D" w:rsidRDefault="004C1422" w:rsidP="008D2A15">
      <w:pPr>
        <w:pStyle w:val="Heading3"/>
      </w:pPr>
      <w:bookmarkStart w:id="24" w:name="_Toc17201190"/>
      <w:r w:rsidRPr="0091174D">
        <w:t>Improvements in Air Quality Due to Permanent and Enforceable Reductions in Emissions</w:t>
      </w:r>
      <w:bookmarkEnd w:id="24"/>
      <w:r w:rsidRPr="0091174D">
        <w:t xml:space="preserve"> </w:t>
      </w:r>
    </w:p>
    <w:p w14:paraId="1B2B0EDD" w14:textId="77777777" w:rsidR="00122580" w:rsidRPr="00872D6C" w:rsidRDefault="00122580" w:rsidP="00083D6C">
      <w:pPr>
        <w:rPr>
          <w:rFonts w:cs="Times New Roman"/>
        </w:rPr>
      </w:pPr>
      <w:r w:rsidRPr="00872D6C">
        <w:rPr>
          <w:rFonts w:cs="Times New Roman"/>
        </w:rPr>
        <w:t xml:space="preserve">CAA 107(d)(3)(E)(iii) - </w:t>
      </w:r>
      <w:r w:rsidRPr="00872D6C">
        <w:rPr>
          <w:rFonts w:cs="Times New Roman"/>
          <w:i/>
          <w:iCs/>
        </w:rPr>
        <w:t xml:space="preserve">The Administrator determines that the improvement in air quality is due to permanent and enforceable reductions in emissions resulting from implementation of the applicable implementation plan and applicable Federal air pollutant control regulations and other permanent and enforceable reductions. </w:t>
      </w:r>
      <w:r w:rsidRPr="00A36072">
        <w:t>Speaking further on the issue, EPA guidance</w:t>
      </w:r>
      <w:r w:rsidR="00D86AAE">
        <w:rPr>
          <w:rStyle w:val="FootnoteReference"/>
        </w:rPr>
        <w:footnoteReference w:id="8"/>
      </w:r>
      <w:r w:rsidRPr="00A36072">
        <w:t xml:space="preserve"> reads that the State must be able to reasonably attribute the improvement in air quality to emission reductions which are permanent and enforceable. In the following sections, both the improvement in air quality and the emission reductions themselves will be discussed.</w:t>
      </w:r>
    </w:p>
    <w:p w14:paraId="5DE5F399" w14:textId="77777777" w:rsidR="005E7104" w:rsidRPr="00872D6C" w:rsidRDefault="005E7104" w:rsidP="00087E00">
      <w:pPr>
        <w:pStyle w:val="Heading4"/>
        <w:numPr>
          <w:ilvl w:val="0"/>
          <w:numId w:val="2"/>
        </w:numPr>
      </w:pPr>
      <w:bookmarkStart w:id="25" w:name="_Toc17201191"/>
      <w:r w:rsidRPr="00872D6C">
        <w:t>Improvement in Air Quality</w:t>
      </w:r>
      <w:bookmarkEnd w:id="25"/>
    </w:p>
    <w:p w14:paraId="59BF2114" w14:textId="50828894" w:rsidR="00BE6D17" w:rsidRPr="00B40509" w:rsidRDefault="00BE6D17" w:rsidP="00E875DA">
      <w:pPr>
        <w:rPr>
          <w:color w:val="00B050"/>
        </w:rPr>
      </w:pPr>
      <w:r>
        <w:t xml:space="preserve">The improvement in air quality with respect to </w:t>
      </w:r>
      <w:r w:rsidR="00AD1106" w:rsidRPr="00EF2C3F">
        <w:t>PM</w:t>
      </w:r>
      <w:r w:rsidR="00AD1106" w:rsidRPr="00EF2C3F">
        <w:rPr>
          <w:vertAlign w:val="subscript"/>
        </w:rPr>
        <w:t>2.5</w:t>
      </w:r>
      <w:r>
        <w:t xml:space="preserve"> can be shown in a number of ways. Improvement, in this case, is relative to the various </w:t>
      </w:r>
      <w:r w:rsidR="00942F24">
        <w:t>control strategies that affected</w:t>
      </w:r>
      <w:r>
        <w:t xml:space="preserve"> the airshed. </w:t>
      </w:r>
      <w:r w:rsidR="000F2DEB">
        <w:t xml:space="preserve">For the </w:t>
      </w:r>
      <w:r w:rsidR="00B40509" w:rsidRPr="00B40509">
        <w:rPr>
          <w:color w:val="00B050"/>
        </w:rPr>
        <w:t>Provo</w:t>
      </w:r>
      <w:r w:rsidR="000F2DEB" w:rsidRPr="00B40509">
        <w:rPr>
          <w:color w:val="00B050"/>
        </w:rPr>
        <w:t xml:space="preserve"> NAA, these control strategies were implemented as the result of both the </w:t>
      </w:r>
      <w:r w:rsidR="00BD351F">
        <w:rPr>
          <w:color w:val="00B050"/>
        </w:rPr>
        <w:t>m</w:t>
      </w:r>
      <w:r w:rsidR="000F2DEB" w:rsidRPr="00B40509">
        <w:rPr>
          <w:color w:val="00B050"/>
        </w:rPr>
        <w:t xml:space="preserve">oderate SIP and the </w:t>
      </w:r>
      <w:r w:rsidR="00BD351F">
        <w:rPr>
          <w:color w:val="00B050"/>
        </w:rPr>
        <w:t>s</w:t>
      </w:r>
      <w:r w:rsidR="000F2DEB" w:rsidRPr="00B40509">
        <w:rPr>
          <w:color w:val="00B050"/>
        </w:rPr>
        <w:t xml:space="preserve">erious </w:t>
      </w:r>
      <w:r w:rsidR="00B40509">
        <w:rPr>
          <w:color w:val="00B050"/>
        </w:rPr>
        <w:t>designation BACM/BACT requirements</w:t>
      </w:r>
      <w:r w:rsidR="000F2DEB" w:rsidRPr="00B40509">
        <w:rPr>
          <w:color w:val="00B050"/>
        </w:rPr>
        <w:t xml:space="preserve">, submitted to EPA in December 2014 and February 2019, respectively. The various control measure effective dates are </w:t>
      </w:r>
      <w:r w:rsidR="00BA5C92" w:rsidRPr="00B40509">
        <w:rPr>
          <w:color w:val="00B050"/>
        </w:rPr>
        <w:t>detailed in Tables IX.</w:t>
      </w:r>
      <w:r w:rsidR="00A12BD9">
        <w:rPr>
          <w:color w:val="00B050"/>
        </w:rPr>
        <w:t>A.</w:t>
      </w:r>
      <w:r w:rsidR="002711DF" w:rsidRPr="00B40509">
        <w:rPr>
          <w:color w:val="00B050"/>
        </w:rPr>
        <w:t>27</w:t>
      </w:r>
      <w:r w:rsidR="00BA5C92" w:rsidRPr="00B40509">
        <w:rPr>
          <w:color w:val="00B050"/>
        </w:rPr>
        <w:t xml:space="preserve">.4 </w:t>
      </w:r>
      <w:r w:rsidR="00BA5C92" w:rsidRPr="00164252">
        <w:rPr>
          <w:color w:val="00B050"/>
        </w:rPr>
        <w:t>and IX</w:t>
      </w:r>
      <w:r w:rsidR="00A12BD9">
        <w:rPr>
          <w:color w:val="00B050"/>
        </w:rPr>
        <w:t>.A.</w:t>
      </w:r>
      <w:r w:rsidR="00B21DDC" w:rsidRPr="00164252">
        <w:rPr>
          <w:color w:val="00B050"/>
        </w:rPr>
        <w:t>27.</w:t>
      </w:r>
      <w:r w:rsidR="00BA5C92" w:rsidRPr="00164252">
        <w:rPr>
          <w:color w:val="00B050"/>
        </w:rPr>
        <w:t>5</w:t>
      </w:r>
      <w:r w:rsidR="000F2DEB" w:rsidRPr="00164252">
        <w:rPr>
          <w:color w:val="00B050"/>
        </w:rPr>
        <w:t>.</w:t>
      </w:r>
    </w:p>
    <w:p w14:paraId="1464D6B5" w14:textId="74989F17" w:rsidR="007C64F9" w:rsidRDefault="00395817" w:rsidP="00E875DA">
      <w:r w:rsidRPr="00CD162E">
        <w:t>An</w:t>
      </w:r>
      <w:r w:rsidR="007C64F9" w:rsidRPr="00CD162E">
        <w:t xml:space="preserve"> assess</w:t>
      </w:r>
      <w:r w:rsidRPr="00CD162E">
        <w:t>ment of</w:t>
      </w:r>
      <w:r w:rsidR="007C64F9" w:rsidRPr="00CD162E">
        <w:t xml:space="preserve"> the ambient air quality data collected at monitors in the NAA </w:t>
      </w:r>
      <w:r w:rsidRPr="00CD162E">
        <w:t xml:space="preserve">from the year monitoring began to </w:t>
      </w:r>
      <w:r w:rsidR="00115E0D">
        <w:t>2018 (</w:t>
      </w:r>
      <w:r w:rsidRPr="00CD162E">
        <w:t>the last year of validated data</w:t>
      </w:r>
      <w:r w:rsidR="00115E0D">
        <w:t>)</w:t>
      </w:r>
      <w:r w:rsidRPr="00CD162E">
        <w:t xml:space="preserve"> shows an observable decrease in monitored </w:t>
      </w:r>
      <w:r w:rsidR="00AD1106" w:rsidRPr="00CD162E">
        <w:t>PM</w:t>
      </w:r>
      <w:r w:rsidR="00AD1106" w:rsidRPr="00CD162E">
        <w:rPr>
          <w:vertAlign w:val="subscript"/>
        </w:rPr>
        <w:t>2.5</w:t>
      </w:r>
      <w:r w:rsidR="00FC7DE3" w:rsidRPr="00CD162E">
        <w:t xml:space="preserve"> (see </w:t>
      </w:r>
      <w:r w:rsidR="00FC7DE3" w:rsidRPr="003A778A">
        <w:rPr>
          <w:color w:val="00B050"/>
        </w:rPr>
        <w:t>Figure IX.A.</w:t>
      </w:r>
      <w:r w:rsidR="00CD162E" w:rsidRPr="003A778A">
        <w:rPr>
          <w:color w:val="00B050"/>
        </w:rPr>
        <w:t>27</w:t>
      </w:r>
      <w:r w:rsidR="00FC7DE3" w:rsidRPr="003A778A">
        <w:rPr>
          <w:color w:val="00B050"/>
        </w:rPr>
        <w:t>.</w:t>
      </w:r>
      <w:r w:rsidR="00EC24BC">
        <w:rPr>
          <w:color w:val="00B050"/>
        </w:rPr>
        <w:t>2</w:t>
      </w:r>
      <w:r w:rsidR="003A778A">
        <w:rPr>
          <w:color w:val="00B050"/>
        </w:rPr>
        <w:t xml:space="preserve"> and Figure IX.A.27.</w:t>
      </w:r>
      <w:r w:rsidR="00EC24BC">
        <w:rPr>
          <w:color w:val="00B050"/>
        </w:rPr>
        <w:t>3</w:t>
      </w:r>
      <w:r w:rsidRPr="00CD162E">
        <w:t>)</w:t>
      </w:r>
      <w:r w:rsidR="007C64F9" w:rsidRPr="00CD162E">
        <w:t>.</w:t>
      </w:r>
      <w:r w:rsidR="007C64F9">
        <w:t xml:space="preserve"> The </w:t>
      </w:r>
      <w:r w:rsidR="00CD162E" w:rsidRPr="00CD162E">
        <w:rPr>
          <w:color w:val="00B050"/>
        </w:rPr>
        <w:t>Provo</w:t>
      </w:r>
      <w:r w:rsidR="007C64F9" w:rsidRPr="00CD162E">
        <w:rPr>
          <w:color w:val="00B050"/>
        </w:rPr>
        <w:t xml:space="preserve"> NAA</w:t>
      </w:r>
      <w:r w:rsidR="007C64F9">
        <w:t xml:space="preserve"> is designated nonattainment only for the 24-hour health standard</w:t>
      </w:r>
      <w:r w:rsidR="00BE6D17">
        <w:t>, not for the annual standard</w:t>
      </w:r>
      <w:r w:rsidR="00B56C83">
        <w:t>. However, it is useful to observe both the 98</w:t>
      </w:r>
      <w:r w:rsidR="00B56C83" w:rsidRPr="00B56C83">
        <w:rPr>
          <w:vertAlign w:val="superscript"/>
        </w:rPr>
        <w:t>th</w:t>
      </w:r>
      <w:r w:rsidR="00B56C83">
        <w:t xml:space="preserve"> percentile average of 24-hr data as well as the annual arithmetic</w:t>
      </w:r>
      <w:r>
        <w:t xml:space="preserve"> mean to unde</w:t>
      </w:r>
      <w:r w:rsidR="00FC7DE3">
        <w:t>rstand trends (</w:t>
      </w:r>
      <w:r w:rsidR="00FC7DE3" w:rsidRPr="003A778A">
        <w:rPr>
          <w:color w:val="00B050"/>
        </w:rPr>
        <w:t>see Figure IX.A</w:t>
      </w:r>
      <w:r w:rsidR="002C5B97" w:rsidRPr="003A778A">
        <w:rPr>
          <w:color w:val="00B050"/>
        </w:rPr>
        <w:t>.</w:t>
      </w:r>
      <w:r w:rsidR="00D6716D" w:rsidRPr="003A778A">
        <w:rPr>
          <w:color w:val="00B050"/>
        </w:rPr>
        <w:t>27</w:t>
      </w:r>
      <w:r w:rsidR="00FC7DE3" w:rsidRPr="003A778A">
        <w:rPr>
          <w:color w:val="00B050"/>
        </w:rPr>
        <w:t>.2</w:t>
      </w:r>
      <w:r w:rsidR="00245873" w:rsidRPr="00D6716D">
        <w:t>). Ambient</w:t>
      </w:r>
      <w:r w:rsidR="00245873">
        <w:t xml:space="preserve"> concentration</w:t>
      </w:r>
      <w:r w:rsidR="00AF211C">
        <w:t>s</w:t>
      </w:r>
      <w:r w:rsidR="00245873">
        <w:t xml:space="preserve"> in excess of the 24-hr standard are typically only incurred during winter months when cold-pool conditions drive and trap secondary </w:t>
      </w:r>
      <w:r w:rsidR="00AD1106" w:rsidRPr="00EF2C3F">
        <w:t>PM</w:t>
      </w:r>
      <w:r w:rsidR="00AD1106" w:rsidRPr="00EF2C3F">
        <w:rPr>
          <w:vertAlign w:val="subscript"/>
        </w:rPr>
        <w:t>2.5</w:t>
      </w:r>
      <w:r w:rsidR="00245873">
        <w:t>.</w:t>
      </w:r>
      <w:r w:rsidR="00DF5BC5">
        <w:t xml:space="preserve"> </w:t>
      </w:r>
      <w:r w:rsidR="00245873">
        <w:t xml:space="preserve">The actual cold-pool temperature inversions vary in strength and duration from year to year, and the </w:t>
      </w:r>
      <w:r w:rsidR="00AD1106" w:rsidRPr="00EF2C3F">
        <w:t>PM</w:t>
      </w:r>
      <w:r w:rsidR="00AD1106" w:rsidRPr="00EF2C3F">
        <w:rPr>
          <w:vertAlign w:val="subscript"/>
        </w:rPr>
        <w:t>2.5</w:t>
      </w:r>
      <w:r w:rsidR="00245873">
        <w:t xml:space="preserve"> concentrations measured during those times reflect this variability far more than they reflect gradual changes in the emissions of </w:t>
      </w:r>
      <w:r w:rsidR="00430BCB">
        <w:t xml:space="preserve">direct </w:t>
      </w:r>
      <w:r w:rsidR="00AD1106" w:rsidRPr="00EF2C3F">
        <w:t>PM</w:t>
      </w:r>
      <w:r w:rsidR="00AD1106" w:rsidRPr="00EF2C3F">
        <w:rPr>
          <w:vertAlign w:val="subscript"/>
        </w:rPr>
        <w:t>2.5</w:t>
      </w:r>
      <w:r w:rsidR="00245873">
        <w:t xml:space="preserve"> and </w:t>
      </w:r>
      <w:r w:rsidR="00AD1106" w:rsidRPr="00EF2C3F">
        <w:t>PM</w:t>
      </w:r>
      <w:r w:rsidR="00AD1106" w:rsidRPr="00EF2C3F">
        <w:rPr>
          <w:vertAlign w:val="subscript"/>
        </w:rPr>
        <w:t>2.5</w:t>
      </w:r>
      <w:r w:rsidR="00245873">
        <w:t xml:space="preserve"> precursors. This varia</w:t>
      </w:r>
      <w:r w:rsidR="00AB45F0">
        <w:t xml:space="preserve">bility is apparent in Figure </w:t>
      </w:r>
      <w:r w:rsidR="002C5B97" w:rsidRPr="00D6716D">
        <w:rPr>
          <w:color w:val="00B050"/>
        </w:rPr>
        <w:t>IX.A.</w:t>
      </w:r>
      <w:r w:rsidR="00D6716D" w:rsidRPr="00D6716D">
        <w:rPr>
          <w:color w:val="00B050"/>
        </w:rPr>
        <w:t>27</w:t>
      </w:r>
      <w:r w:rsidR="002C5B97" w:rsidRPr="00D6716D">
        <w:rPr>
          <w:color w:val="00B050"/>
        </w:rPr>
        <w:t>.3</w:t>
      </w:r>
      <w:r w:rsidR="00245873">
        <w:t xml:space="preserve">. Despite the variability, if a line is fit through the 24-hr data, the trend is noticeably downward and indicates an improvement </w:t>
      </w:r>
      <w:r w:rsidR="00245873" w:rsidRPr="00AA2399">
        <w:t>of</w:t>
      </w:r>
      <w:r w:rsidR="00115E0D">
        <w:t xml:space="preserve"> a little less than</w:t>
      </w:r>
      <w:r w:rsidR="00AA2399" w:rsidRPr="00AA2399">
        <w:t xml:space="preserve"> </w:t>
      </w:r>
      <w:r w:rsidR="00AA2399" w:rsidRPr="002C5B97">
        <w:t>one</w:t>
      </w:r>
      <w:r w:rsidR="00245873" w:rsidRPr="00AB45F0">
        <w:rPr>
          <w:color w:val="FF0000"/>
        </w:rPr>
        <w:t xml:space="preserve"> </w:t>
      </w:r>
      <w:r w:rsidR="008207A7">
        <w:t>µ</w:t>
      </w:r>
      <w:r w:rsidR="008207A7" w:rsidRPr="00EF2C3F">
        <w:t>g /m</w:t>
      </w:r>
      <w:r w:rsidR="008207A7" w:rsidRPr="001131AB">
        <w:rPr>
          <w:vertAlign w:val="superscript"/>
        </w:rPr>
        <w:t>3</w:t>
      </w:r>
      <w:r w:rsidR="008207A7">
        <w:rPr>
          <w:vertAlign w:val="superscript"/>
        </w:rPr>
        <w:t xml:space="preserve"> </w:t>
      </w:r>
      <w:r w:rsidR="00245873">
        <w:t>per year.</w:t>
      </w:r>
    </w:p>
    <w:p w14:paraId="7B8D9A71" w14:textId="22A39E9F" w:rsidR="00524984" w:rsidRDefault="00524984" w:rsidP="00E875DA">
      <w:r>
        <w:t xml:space="preserve">This episodic </w:t>
      </w:r>
      <w:r w:rsidR="00853CE8" w:rsidRPr="00526739">
        <w:t>variability is reduced</w:t>
      </w:r>
      <w:r w:rsidRPr="00526739">
        <w:t xml:space="preserve"> </w:t>
      </w:r>
      <w:r w:rsidR="005B3A83" w:rsidRPr="00526739">
        <w:t xml:space="preserve">by looking at annual mean values of </w:t>
      </w:r>
      <w:r w:rsidR="00AD1106" w:rsidRPr="00526739">
        <w:t>PM</w:t>
      </w:r>
      <w:r w:rsidR="00AD1106" w:rsidRPr="00526739">
        <w:rPr>
          <w:vertAlign w:val="subscript"/>
        </w:rPr>
        <w:t>2.5</w:t>
      </w:r>
      <w:r w:rsidR="005B3A83" w:rsidRPr="00526739">
        <w:t xml:space="preserve"> co</w:t>
      </w:r>
      <w:r w:rsidR="00D50201" w:rsidRPr="00526739">
        <w:t xml:space="preserve">ncentrations shown in </w:t>
      </w:r>
      <w:r w:rsidR="00D50201" w:rsidRPr="003A778A">
        <w:rPr>
          <w:color w:val="00B050"/>
        </w:rPr>
        <w:t xml:space="preserve">Figure </w:t>
      </w:r>
      <w:r w:rsidR="00BF3632" w:rsidRPr="003A778A">
        <w:rPr>
          <w:color w:val="00B050"/>
        </w:rPr>
        <w:t>IX.A.</w:t>
      </w:r>
      <w:r w:rsidR="00526739" w:rsidRPr="003A778A">
        <w:rPr>
          <w:color w:val="00B050"/>
        </w:rPr>
        <w:t>27</w:t>
      </w:r>
      <w:r w:rsidR="00BF3632" w:rsidRPr="003A778A">
        <w:rPr>
          <w:color w:val="00B050"/>
        </w:rPr>
        <w:t>.2</w:t>
      </w:r>
      <w:r w:rsidR="005B3A83" w:rsidRPr="00526739">
        <w:t>.</w:t>
      </w:r>
      <w:r w:rsidR="005B3A83">
        <w:t xml:space="preserve"> The data is still skewed more by winter data than summer data. It includes all of the high values identified as the 98</w:t>
      </w:r>
      <w:r w:rsidR="005B3A83" w:rsidRPr="005B3A83">
        <w:rPr>
          <w:vertAlign w:val="superscript"/>
        </w:rPr>
        <w:t>th</w:t>
      </w:r>
      <w:r w:rsidR="005B3A83">
        <w:t xml:space="preserve"> percentiles, as well as the values ranked even higher. Still</w:t>
      </w:r>
      <w:r w:rsidR="00C876AA">
        <w:t>,</w:t>
      </w:r>
      <w:r w:rsidR="005B3A83">
        <w:t xml:space="preserve"> the trend is downward. Fitting a line through the</w:t>
      </w:r>
      <w:r w:rsidR="003602A0">
        <w:t xml:space="preserve"> data collected at the </w:t>
      </w:r>
      <w:r w:rsidR="00526739" w:rsidRPr="00526739">
        <w:rPr>
          <w:color w:val="00B050"/>
        </w:rPr>
        <w:t>Lindon</w:t>
      </w:r>
      <w:r w:rsidR="005B3A83" w:rsidRPr="00BF3632">
        <w:rPr>
          <w:color w:val="0070C0"/>
        </w:rPr>
        <w:t xml:space="preserve"> </w:t>
      </w:r>
      <w:r w:rsidR="005B3A83">
        <w:t>site</w:t>
      </w:r>
      <w:r w:rsidR="002B406A">
        <w:t xml:space="preserve"> (chosen because the monitor consistently </w:t>
      </w:r>
      <w:r w:rsidR="009244F9">
        <w:t xml:space="preserve">records the </w:t>
      </w:r>
      <w:r w:rsidR="002B406A">
        <w:t>highe</w:t>
      </w:r>
      <w:r w:rsidR="009244F9">
        <w:t>st</w:t>
      </w:r>
      <w:r w:rsidR="002B406A">
        <w:t xml:space="preserve"> values</w:t>
      </w:r>
      <w:r w:rsidR="009244F9">
        <w:t xml:space="preserve"> in the NAA</w:t>
      </w:r>
      <w:r w:rsidR="002B406A">
        <w:t>)</w:t>
      </w:r>
      <w:r w:rsidR="005B3A83">
        <w:t xml:space="preserve"> re</w:t>
      </w:r>
      <w:r w:rsidR="00215EB0">
        <w:t xml:space="preserve">veals a trend that noticeably </w:t>
      </w:r>
      <w:r w:rsidR="00034E20">
        <w:t>decreases and</w:t>
      </w:r>
      <w:r w:rsidR="005B3A83">
        <w:t xml:space="preserve"> i</w:t>
      </w:r>
      <w:r w:rsidR="00215EB0">
        <w:t>ndicates</w:t>
      </w:r>
      <w:r w:rsidR="00304057">
        <w:t xml:space="preserve"> an improvement of</w:t>
      </w:r>
      <w:r w:rsidR="00304057" w:rsidRPr="005773C4">
        <w:t xml:space="preserve"> </w:t>
      </w:r>
      <w:r w:rsidR="00304057" w:rsidRPr="00C80FB4">
        <w:t>approximately</w:t>
      </w:r>
      <w:r w:rsidR="005773C4" w:rsidRPr="00C80FB4">
        <w:t xml:space="preserve"> </w:t>
      </w:r>
      <w:r w:rsidR="009A47F7">
        <w:t>3.0</w:t>
      </w:r>
      <w:r w:rsidR="005B3A83" w:rsidRPr="00C80FB4">
        <w:t xml:space="preserve"> </w:t>
      </w:r>
      <w:r w:rsidR="008207A7">
        <w:t>µ</w:t>
      </w:r>
      <w:r w:rsidR="008207A7" w:rsidRPr="00EF2C3F">
        <w:t>g /m</w:t>
      </w:r>
      <w:r w:rsidR="008207A7" w:rsidRPr="001131AB">
        <w:rPr>
          <w:vertAlign w:val="superscript"/>
        </w:rPr>
        <w:t>3</w:t>
      </w:r>
      <w:r w:rsidR="005B3A83">
        <w:t>, over the 18-year span.</w:t>
      </w:r>
    </w:p>
    <w:p w14:paraId="3B2AC57A" w14:textId="77777777" w:rsidR="005C258A" w:rsidRDefault="00D336CD" w:rsidP="005C258A">
      <w:pPr>
        <w:keepNext/>
      </w:pPr>
      <w:r>
        <w:rPr>
          <w:noProof/>
        </w:rPr>
        <w:drawing>
          <wp:inline distT="0" distB="0" distL="0" distR="0" wp14:anchorId="69862163" wp14:editId="37FB8253">
            <wp:extent cx="6303645" cy="321490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8853" cy="3227757"/>
                    </a:xfrm>
                    <a:prstGeom prst="rect">
                      <a:avLst/>
                    </a:prstGeom>
                    <a:noFill/>
                  </pic:spPr>
                </pic:pic>
              </a:graphicData>
            </a:graphic>
          </wp:inline>
        </w:drawing>
      </w:r>
    </w:p>
    <w:p w14:paraId="66B59290" w14:textId="5D556DD2" w:rsidR="000F2575" w:rsidRDefault="005C258A" w:rsidP="005C258A">
      <w:pPr>
        <w:pStyle w:val="Caption"/>
      </w:pPr>
      <w:bookmarkStart w:id="26" w:name="_Toc17201288"/>
      <w:r>
        <w:t xml:space="preserve">Figure IX.A.27. </w:t>
      </w:r>
      <w:fldSimple w:instr=" SEQ Figure_IX.A.27. \* ARABIC ">
        <w:r w:rsidR="00C012A9">
          <w:rPr>
            <w:noProof/>
          </w:rPr>
          <w:t>2</w:t>
        </w:r>
      </w:fldSimple>
      <w:r w:rsidRPr="005C258A">
        <w:t xml:space="preserve"> </w:t>
      </w:r>
      <w:r>
        <w:t>Provo</w:t>
      </w:r>
      <w:r w:rsidRPr="00533169">
        <w:t xml:space="preserve"> NAA PM</w:t>
      </w:r>
      <w:r w:rsidR="006C7AA8">
        <w:rPr>
          <w:vertAlign w:val="subscript"/>
        </w:rPr>
        <w:t>2.5</w:t>
      </w:r>
      <w:r w:rsidRPr="00533169">
        <w:t xml:space="preserve"> Annual Mean Concentration</w:t>
      </w:r>
      <w:bookmarkEnd w:id="26"/>
    </w:p>
    <w:p w14:paraId="14AA0E41" w14:textId="77777777" w:rsidR="005C258A" w:rsidRDefault="00D336CD" w:rsidP="005C258A">
      <w:pPr>
        <w:keepNext/>
      </w:pPr>
      <w:r>
        <w:rPr>
          <w:noProof/>
        </w:rPr>
        <w:drawing>
          <wp:inline distT="0" distB="0" distL="0" distR="0" wp14:anchorId="5B142278" wp14:editId="2E536869">
            <wp:extent cx="6303645" cy="31394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03645" cy="3139440"/>
                    </a:xfrm>
                    <a:prstGeom prst="rect">
                      <a:avLst/>
                    </a:prstGeom>
                    <a:noFill/>
                  </pic:spPr>
                </pic:pic>
              </a:graphicData>
            </a:graphic>
          </wp:inline>
        </w:drawing>
      </w:r>
    </w:p>
    <w:p w14:paraId="370DAA9E" w14:textId="3620BD51" w:rsidR="000F2575" w:rsidRDefault="005C258A" w:rsidP="005C258A">
      <w:pPr>
        <w:pStyle w:val="Caption"/>
      </w:pPr>
      <w:bookmarkStart w:id="27" w:name="_Toc17201289"/>
      <w:r>
        <w:t xml:space="preserve">Figure IX.A.27. </w:t>
      </w:r>
      <w:fldSimple w:instr=" SEQ Figure_IX.A.27. \* ARABIC ">
        <w:r w:rsidR="00C012A9">
          <w:rPr>
            <w:noProof/>
          </w:rPr>
          <w:t>3</w:t>
        </w:r>
      </w:fldSimple>
      <w:r w:rsidRPr="005C258A">
        <w:t xml:space="preserve"> </w:t>
      </w:r>
      <w:r>
        <w:t>Provo</w:t>
      </w:r>
      <w:r w:rsidRPr="00533169">
        <w:t xml:space="preserve"> NAA PM</w:t>
      </w:r>
      <w:r w:rsidR="006C7AA8">
        <w:rPr>
          <w:vertAlign w:val="subscript"/>
        </w:rPr>
        <w:t>2.5</w:t>
      </w:r>
      <w:r w:rsidRPr="00533169">
        <w:t xml:space="preserve"> 98</w:t>
      </w:r>
      <w:r w:rsidRPr="00533169">
        <w:rPr>
          <w:vertAlign w:val="superscript"/>
        </w:rPr>
        <w:t>th</w:t>
      </w:r>
      <w:r w:rsidRPr="00533169">
        <w:t xml:space="preserve"> </w:t>
      </w:r>
      <w:r w:rsidR="00A21377">
        <w:t>P</w:t>
      </w:r>
      <w:r w:rsidRPr="00533169">
        <w:t xml:space="preserve">ercentile of 24-hr </w:t>
      </w:r>
      <w:r w:rsidR="00A21377">
        <w:t>C</w:t>
      </w:r>
      <w:r w:rsidRPr="00533169">
        <w:t>oncentration</w:t>
      </w:r>
      <w:bookmarkEnd w:id="27"/>
    </w:p>
    <w:p w14:paraId="0A50D2F2" w14:textId="77777777" w:rsidR="00CF523D" w:rsidRPr="00E744A2" w:rsidRDefault="00CF523D" w:rsidP="00087E00">
      <w:pPr>
        <w:pStyle w:val="Heading4"/>
        <w:numPr>
          <w:ilvl w:val="0"/>
          <w:numId w:val="18"/>
        </w:numPr>
      </w:pPr>
      <w:bookmarkStart w:id="28" w:name="_Toc17201192"/>
      <w:r w:rsidRPr="00E744A2">
        <w:t>Reduction in Emissions</w:t>
      </w:r>
      <w:bookmarkEnd w:id="28"/>
    </w:p>
    <w:p w14:paraId="59B95219" w14:textId="77777777" w:rsidR="000631A0" w:rsidRPr="00C82B28" w:rsidRDefault="000631A0" w:rsidP="00E875DA">
      <w:r w:rsidRPr="00C82B28">
        <w:t>As stated above, EPA guidance</w:t>
      </w:r>
      <w:r w:rsidR="00083F27">
        <w:rPr>
          <w:rStyle w:val="FootnoteReference"/>
        </w:rPr>
        <w:footnoteReference w:id="9"/>
      </w:r>
      <w:r w:rsidR="00083F27">
        <w:t xml:space="preserve"> </w:t>
      </w:r>
      <w:r w:rsidRPr="00C82B28">
        <w:t>says that the State must be able to reasonably attribute the improvement in air quality to emission reductions that are permanent and enforceable. In making this showing, the State should estimate the percent reduction (from the year that was used to determine the design value) achieved by Federal measures such as motor vehicle control, as well as by control measures that have been adopted and implemented by the State.</w:t>
      </w:r>
    </w:p>
    <w:p w14:paraId="358F6E29" w14:textId="6805F220" w:rsidR="00D4578B" w:rsidRPr="00C82B28" w:rsidRDefault="00D4578B" w:rsidP="00E875DA">
      <w:r w:rsidRPr="00C82B28">
        <w:t xml:space="preserve">As mentioned, the ambient air quality data presented in </w:t>
      </w:r>
      <w:r w:rsidRPr="002F1F00">
        <w:t xml:space="preserve">Subsection </w:t>
      </w:r>
      <w:r w:rsidR="005B6978" w:rsidRPr="002F1F00">
        <w:t>IX.A.</w:t>
      </w:r>
      <w:r w:rsidR="002F1F00" w:rsidRPr="002F1F00">
        <w:t>27</w:t>
      </w:r>
      <w:r w:rsidRPr="002F1F00">
        <w:t>.b(3)(a) includes va</w:t>
      </w:r>
      <w:r w:rsidRPr="0020253E">
        <w:t xml:space="preserve">lues </w:t>
      </w:r>
      <w:r w:rsidRPr="00C82B28">
        <w:t>prior to the nonattainment designation</w:t>
      </w:r>
      <w:r w:rsidR="007021C4">
        <w:t xml:space="preserve"> through 2018 to illustrate the lasting effect of the implemented control strategies.</w:t>
      </w:r>
      <w:r w:rsidR="00304057">
        <w:t xml:space="preserve"> </w:t>
      </w:r>
      <w:r w:rsidRPr="00C82B28">
        <w:t>In discussing the effect of the controls, as well as the control measures themselves, however, it is important to keep in mind the time necessary for their implementation.</w:t>
      </w:r>
    </w:p>
    <w:p w14:paraId="5BCB44F6" w14:textId="3A4776E4" w:rsidR="00374EC5" w:rsidRPr="00EA6867" w:rsidRDefault="00EA6867" w:rsidP="00374EC5">
      <w:pPr>
        <w:rPr>
          <w:rFonts w:cs="Times New Roman"/>
        </w:rPr>
      </w:pPr>
      <w:r w:rsidRPr="00EA6867">
        <w:rPr>
          <w:rFonts w:cs="Times New Roman"/>
        </w:rPr>
        <w:t xml:space="preserve">The </w:t>
      </w:r>
      <w:r w:rsidR="00BD351F">
        <w:rPr>
          <w:rFonts w:cs="Times New Roman"/>
        </w:rPr>
        <w:t>m</w:t>
      </w:r>
      <w:r w:rsidRPr="00EA6867">
        <w:rPr>
          <w:rFonts w:cs="Times New Roman"/>
        </w:rPr>
        <w:t xml:space="preserve">oderate nonattainment SIP for the </w:t>
      </w:r>
      <w:r w:rsidR="002F1F00" w:rsidRPr="002F1F00">
        <w:rPr>
          <w:rFonts w:cs="Times New Roman"/>
          <w:color w:val="00B050"/>
        </w:rPr>
        <w:t>Provo</w:t>
      </w:r>
      <w:r w:rsidRPr="002F1F00">
        <w:rPr>
          <w:rFonts w:cs="Times New Roman"/>
          <w:color w:val="00B050"/>
        </w:rPr>
        <w:t xml:space="preserve"> NAA</w:t>
      </w:r>
      <w:r w:rsidRPr="00EA6867">
        <w:rPr>
          <w:rFonts w:cs="Times New Roman"/>
        </w:rPr>
        <w:t xml:space="preserve"> included a statutory date for the implementation of RACM/RACT of December 31, 2014. Thus, 2015 marked the first year in which RACM/RACT was reflected in the emissions </w:t>
      </w:r>
      <w:r w:rsidRPr="002F1F00">
        <w:rPr>
          <w:rFonts w:cs="Times New Roman"/>
        </w:rPr>
        <w:t>inventories for the</w:t>
      </w:r>
      <w:r w:rsidRPr="00EA6867">
        <w:rPr>
          <w:rFonts w:cs="Times New Roman"/>
          <w:color w:val="0070C0"/>
        </w:rPr>
        <w:t xml:space="preserve"> </w:t>
      </w:r>
      <w:r w:rsidR="002F1F00" w:rsidRPr="002F1F00">
        <w:rPr>
          <w:rFonts w:cs="Times New Roman"/>
          <w:color w:val="00B050"/>
        </w:rPr>
        <w:t>Provo</w:t>
      </w:r>
      <w:r w:rsidRPr="002F1F00">
        <w:rPr>
          <w:rFonts w:cs="Times New Roman"/>
          <w:color w:val="00B050"/>
        </w:rPr>
        <w:t xml:space="preserve"> NAA</w:t>
      </w:r>
      <w:r w:rsidRPr="00EA6867">
        <w:rPr>
          <w:rFonts w:cs="Times New Roman"/>
        </w:rPr>
        <w:t xml:space="preserve">. Section 189(c) of the CAA identifies, as a required plan element, quantitative milestones which are to be achieved every three years, and which demonstrate reasonable further progress (RFP) toward attainment of the standard by the applicable date. As defined in CAA Section 171(1), the term reasonable further progress </w:t>
      </w:r>
      <w:r w:rsidR="000E021C">
        <w:rPr>
          <w:rFonts w:cs="Times New Roman"/>
        </w:rPr>
        <w:t>means “</w:t>
      </w:r>
      <w:r w:rsidR="000E021C" w:rsidRPr="000E021C">
        <w:rPr>
          <w:rFonts w:cs="Times New Roman"/>
        </w:rPr>
        <w:t xml:space="preserve">such annual incremental reductions in emissions of the relevant air pollutant as are required by this part or may reasonably be required by the Administrator for the purpose of ensuring attainment of the applicable national ambient air quality </w:t>
      </w:r>
      <w:r w:rsidR="000E021C">
        <w:rPr>
          <w:rFonts w:cs="Times New Roman"/>
        </w:rPr>
        <w:t>standard by the applicable date</w:t>
      </w:r>
      <w:r w:rsidRPr="00EA6867">
        <w:rPr>
          <w:rFonts w:cs="Times New Roman"/>
        </w:rPr>
        <w:t>.</w:t>
      </w:r>
      <w:r w:rsidR="000E021C">
        <w:rPr>
          <w:rFonts w:cs="Times New Roman"/>
        </w:rPr>
        <w:t>”</w:t>
      </w:r>
      <w:r w:rsidRPr="00EA6867">
        <w:rPr>
          <w:rFonts w:cs="Times New Roman"/>
        </w:rPr>
        <w:t xml:space="preserve"> </w:t>
      </w:r>
      <w:r w:rsidR="00374EC5" w:rsidRPr="00EA6867">
        <w:rPr>
          <w:rFonts w:cs="Times New Roman"/>
        </w:rPr>
        <w:t>Hence, the milestone report must demonstrate that</w:t>
      </w:r>
      <w:r w:rsidR="00374EC5">
        <w:rPr>
          <w:rFonts w:cs="Times New Roman"/>
        </w:rPr>
        <w:t xml:space="preserve"> the control strategy is achieving reasonable progress toward attainment.</w:t>
      </w:r>
    </w:p>
    <w:p w14:paraId="6E7D889F" w14:textId="7BCE207F" w:rsidR="00EA6867" w:rsidRPr="00E109BB" w:rsidRDefault="00EA6867" w:rsidP="00EA6867">
      <w:r w:rsidRPr="008850C3">
        <w:rPr>
          <w:rFonts w:cs="Times New Roman"/>
          <w:color w:val="00B050"/>
        </w:rPr>
        <w:t xml:space="preserve">The RACM prescribed by the </w:t>
      </w:r>
      <w:r w:rsidR="00BD351F">
        <w:rPr>
          <w:rFonts w:cs="Times New Roman"/>
          <w:color w:val="00B050"/>
        </w:rPr>
        <w:t>m</w:t>
      </w:r>
      <w:r w:rsidRPr="008850C3">
        <w:rPr>
          <w:rFonts w:cs="Times New Roman"/>
          <w:color w:val="00B050"/>
        </w:rPr>
        <w:t xml:space="preserve">oderate nonattainment SIP and the subsequent implementation by the State is discussed in more detail in a milestone report submitted for the </w:t>
      </w:r>
      <w:r w:rsidR="008850C3" w:rsidRPr="008850C3">
        <w:rPr>
          <w:rFonts w:cs="Times New Roman"/>
          <w:color w:val="00B050"/>
        </w:rPr>
        <w:t>Provo</w:t>
      </w:r>
      <w:r w:rsidRPr="008850C3">
        <w:rPr>
          <w:rFonts w:cs="Times New Roman"/>
          <w:color w:val="00B050"/>
        </w:rPr>
        <w:t xml:space="preserve"> NAA</w:t>
      </w:r>
      <w:r w:rsidR="00AE49B1" w:rsidRPr="00C82B28">
        <w:t xml:space="preserve"> to EPA on March 23, 2018, within the 90 day post-milestone date required by CAA 189(c)(2) and 51.1013(b). On October 24, 2018, EPA sent Governor Gary Herbert a letter stating “The Environmental Protection Agency has determined that the 2017 Quan</w:t>
      </w:r>
      <w:r w:rsidR="00C82B28">
        <w:t>titative Milestone Reports are a</w:t>
      </w:r>
      <w:r w:rsidR="00AE49B1" w:rsidRPr="00C82B28">
        <w:t>dequate. The basis for this determination is set forth in the enclosures. This determination is based on the EPA’s review of information contained in the Moderate Area Plans and additional information provided in the 2017 Quantitative Milestone Re</w:t>
      </w:r>
      <w:r w:rsidR="00E45F33" w:rsidRPr="00C82B28">
        <w:t>ports.” This approval letter is included in the TSD</w:t>
      </w:r>
      <w:r w:rsidR="000E021C">
        <w:t xml:space="preserve"> for this SIP submittal</w:t>
      </w:r>
      <w:r w:rsidR="00E45F33" w:rsidRPr="00C82B28">
        <w:t>.</w:t>
      </w:r>
      <w:r w:rsidR="00E109BB">
        <w:t xml:space="preserve"> </w:t>
      </w:r>
      <w:r w:rsidRPr="00E109BB">
        <w:rPr>
          <w:rFonts w:cs="Times New Roman"/>
          <w:color w:val="00B050"/>
        </w:rPr>
        <w:t>Much of the downward trend in the ambient data as seen in Figures IX.</w:t>
      </w:r>
      <w:r w:rsidR="00A12BD9">
        <w:rPr>
          <w:rFonts w:cs="Times New Roman"/>
          <w:color w:val="00B050"/>
        </w:rPr>
        <w:t>A.</w:t>
      </w:r>
      <w:r w:rsidR="00E109BB" w:rsidRPr="00E109BB">
        <w:rPr>
          <w:rFonts w:cs="Times New Roman"/>
          <w:color w:val="00B050"/>
        </w:rPr>
        <w:t>27</w:t>
      </w:r>
      <w:r w:rsidRPr="00E109BB">
        <w:rPr>
          <w:rFonts w:cs="Times New Roman"/>
          <w:color w:val="00B050"/>
        </w:rPr>
        <w:t>.2 and IX</w:t>
      </w:r>
      <w:r w:rsidR="00A12BD9">
        <w:rPr>
          <w:rFonts w:cs="Times New Roman"/>
          <w:color w:val="00B050"/>
        </w:rPr>
        <w:t>.A.</w:t>
      </w:r>
      <w:r w:rsidR="00E109BB" w:rsidRPr="00E109BB">
        <w:rPr>
          <w:rFonts w:cs="Times New Roman"/>
          <w:color w:val="00B050"/>
        </w:rPr>
        <w:t>27</w:t>
      </w:r>
      <w:r w:rsidRPr="00E109BB">
        <w:rPr>
          <w:rFonts w:cs="Times New Roman"/>
          <w:color w:val="00B050"/>
        </w:rPr>
        <w:t xml:space="preserve">.3 is attributable to the controls implemented through the </w:t>
      </w:r>
      <w:r w:rsidR="00BD351F">
        <w:rPr>
          <w:rFonts w:cs="Times New Roman"/>
          <w:color w:val="00B050"/>
        </w:rPr>
        <w:t>m</w:t>
      </w:r>
      <w:r w:rsidRPr="00E109BB">
        <w:rPr>
          <w:rFonts w:cs="Times New Roman"/>
          <w:color w:val="00B050"/>
        </w:rPr>
        <w:t>oderate SIP.</w:t>
      </w:r>
    </w:p>
    <w:p w14:paraId="2C851996" w14:textId="1E1C3C9A" w:rsidR="00AC5D13" w:rsidRPr="00AC5D13" w:rsidRDefault="00AC5D13" w:rsidP="00AC5D13">
      <w:pPr>
        <w:rPr>
          <w:rFonts w:cs="Times New Roman"/>
          <w:color w:val="00B050"/>
        </w:rPr>
      </w:pPr>
      <w:r w:rsidRPr="00AC5D13">
        <w:rPr>
          <w:rFonts w:cs="Times New Roman"/>
          <w:color w:val="00B050"/>
        </w:rPr>
        <w:t>40 CFR 51.1011 establishes that control measures must be implemented no later than the beginning of the year containing the applicable attainment date, January 1, 2019</w:t>
      </w:r>
      <w:r w:rsidR="00EC24BC">
        <w:rPr>
          <w:rFonts w:cs="Times New Roman"/>
          <w:color w:val="00B050"/>
        </w:rPr>
        <w:t>,</w:t>
      </w:r>
      <w:r w:rsidRPr="00AC5D13">
        <w:rPr>
          <w:rFonts w:cs="Times New Roman"/>
          <w:color w:val="00B050"/>
        </w:rPr>
        <w:t xml:space="preserve"> for the </w:t>
      </w:r>
      <w:r>
        <w:rPr>
          <w:rFonts w:cs="Times New Roman"/>
          <w:color w:val="00B050"/>
        </w:rPr>
        <w:t>Provo</w:t>
      </w:r>
      <w:r w:rsidRPr="00AC5D13">
        <w:rPr>
          <w:rFonts w:cs="Times New Roman"/>
          <w:color w:val="00B050"/>
        </w:rPr>
        <w:t xml:space="preserve"> NAA. Any control measure</w:t>
      </w:r>
      <w:r>
        <w:rPr>
          <w:rFonts w:cs="Times New Roman"/>
          <w:color w:val="00B050"/>
        </w:rPr>
        <w:t>s</w:t>
      </w:r>
      <w:r w:rsidRPr="00AC5D13">
        <w:rPr>
          <w:rFonts w:cs="Times New Roman"/>
          <w:color w:val="00B050"/>
        </w:rPr>
        <w:t xml:space="preserve"> implemented beyond such date are instead regarded as additional feasible measures. Implementation </w:t>
      </w:r>
      <w:r w:rsidR="00575809">
        <w:rPr>
          <w:rFonts w:cs="Times New Roman"/>
          <w:color w:val="00B050"/>
        </w:rPr>
        <w:t>schedules</w:t>
      </w:r>
      <w:r w:rsidRPr="00AC5D13">
        <w:rPr>
          <w:rFonts w:cs="Times New Roman"/>
          <w:color w:val="00B050"/>
        </w:rPr>
        <w:t xml:space="preserve"> for </w:t>
      </w:r>
      <w:r w:rsidR="000968FF">
        <w:rPr>
          <w:rFonts w:cs="Times New Roman"/>
          <w:color w:val="00B050"/>
        </w:rPr>
        <w:t>point source control measures</w:t>
      </w:r>
      <w:r w:rsidRPr="00AC5D13">
        <w:rPr>
          <w:rFonts w:cs="Times New Roman"/>
          <w:color w:val="00B050"/>
        </w:rPr>
        <w:t xml:space="preserve"> are included in </w:t>
      </w:r>
      <w:r w:rsidRPr="00B21DDC">
        <w:rPr>
          <w:rFonts w:cs="Times New Roman"/>
          <w:color w:val="00B050"/>
        </w:rPr>
        <w:t>Table IX.A.</w:t>
      </w:r>
      <w:r w:rsidR="0037252D" w:rsidRPr="00B21DDC">
        <w:rPr>
          <w:rFonts w:cs="Times New Roman"/>
          <w:color w:val="00B050"/>
        </w:rPr>
        <w:t>27</w:t>
      </w:r>
      <w:r w:rsidRPr="00B21DDC">
        <w:rPr>
          <w:rFonts w:cs="Times New Roman"/>
          <w:color w:val="00B050"/>
        </w:rPr>
        <w:t xml:space="preserve">.5. Emission </w:t>
      </w:r>
      <w:r w:rsidRPr="00AC5D13">
        <w:rPr>
          <w:rFonts w:cs="Times New Roman"/>
          <w:color w:val="00B050"/>
        </w:rPr>
        <w:t>reductions leading to lower ambient values can be observed in Figures IX.</w:t>
      </w:r>
      <w:r w:rsidR="00A12BD9">
        <w:rPr>
          <w:rFonts w:cs="Times New Roman"/>
          <w:color w:val="00B050"/>
        </w:rPr>
        <w:t>A.</w:t>
      </w:r>
      <w:r w:rsidR="0037252D">
        <w:rPr>
          <w:rFonts w:cs="Times New Roman"/>
          <w:color w:val="00B050"/>
        </w:rPr>
        <w:t>27</w:t>
      </w:r>
      <w:r w:rsidRPr="00AC5D13">
        <w:rPr>
          <w:rFonts w:cs="Times New Roman"/>
          <w:color w:val="00B050"/>
        </w:rPr>
        <w:t>.2 and IX.</w:t>
      </w:r>
      <w:r w:rsidR="00A12BD9">
        <w:rPr>
          <w:rFonts w:cs="Times New Roman"/>
          <w:color w:val="00B050"/>
        </w:rPr>
        <w:t>A.</w:t>
      </w:r>
      <w:r w:rsidR="0037252D">
        <w:rPr>
          <w:rFonts w:cs="Times New Roman"/>
          <w:color w:val="00B050"/>
        </w:rPr>
        <w:t>27</w:t>
      </w:r>
      <w:r w:rsidRPr="00AC5D13">
        <w:rPr>
          <w:rFonts w:cs="Times New Roman"/>
          <w:color w:val="00B050"/>
        </w:rPr>
        <w:t xml:space="preserve">.3, with further improvements expected beyond 2019 as a result of the more stringent BACM/BACT requirements. </w:t>
      </w:r>
    </w:p>
    <w:tbl>
      <w:tblPr>
        <w:tblStyle w:val="GridTable1Light"/>
        <w:tblW w:w="0" w:type="auto"/>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55"/>
        <w:gridCol w:w="1535"/>
        <w:gridCol w:w="1800"/>
        <w:gridCol w:w="1710"/>
        <w:gridCol w:w="90"/>
        <w:gridCol w:w="1350"/>
        <w:gridCol w:w="1610"/>
      </w:tblGrid>
      <w:tr w:rsidR="00606A9C" w14:paraId="765648BF" w14:textId="77777777" w:rsidTr="003B54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5" w:type="dxa"/>
            <w:shd w:val="clear" w:color="auto" w:fill="D9D9D9" w:themeFill="background1" w:themeFillShade="D9"/>
          </w:tcPr>
          <w:p w14:paraId="0F7EF982" w14:textId="77777777" w:rsidR="00606A9C" w:rsidRPr="00076222" w:rsidRDefault="00606A9C" w:rsidP="003B5401">
            <w:pPr>
              <w:rPr>
                <w:rFonts w:ascii="Arial" w:hAnsi="Arial" w:cs="Arial"/>
                <w:sz w:val="20"/>
                <w:szCs w:val="20"/>
              </w:rPr>
            </w:pPr>
            <w:r w:rsidRPr="00076222">
              <w:rPr>
                <w:rFonts w:ascii="Arial" w:hAnsi="Arial" w:cs="Arial"/>
                <w:sz w:val="20"/>
                <w:szCs w:val="20"/>
              </w:rPr>
              <w:t>Company</w:t>
            </w:r>
          </w:p>
        </w:tc>
        <w:tc>
          <w:tcPr>
            <w:tcW w:w="1535" w:type="dxa"/>
            <w:shd w:val="clear" w:color="auto" w:fill="D9D9D9" w:themeFill="background1" w:themeFillShade="D9"/>
          </w:tcPr>
          <w:p w14:paraId="1536B444"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RACT Equipment Updates</w:t>
            </w:r>
          </w:p>
        </w:tc>
        <w:tc>
          <w:tcPr>
            <w:tcW w:w="1800" w:type="dxa"/>
            <w:shd w:val="clear" w:color="auto" w:fill="D9D9D9" w:themeFill="background1" w:themeFillShade="D9"/>
          </w:tcPr>
          <w:p w14:paraId="6EAE457B"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BACT Requirements</w:t>
            </w:r>
          </w:p>
        </w:tc>
        <w:tc>
          <w:tcPr>
            <w:tcW w:w="1710" w:type="dxa"/>
            <w:shd w:val="clear" w:color="auto" w:fill="D9D9D9" w:themeFill="background1" w:themeFillShade="D9"/>
          </w:tcPr>
          <w:p w14:paraId="2EAC630A"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Implementation Schedule</w:t>
            </w:r>
          </w:p>
        </w:tc>
        <w:tc>
          <w:tcPr>
            <w:tcW w:w="1440" w:type="dxa"/>
            <w:gridSpan w:val="2"/>
            <w:shd w:val="clear" w:color="auto" w:fill="D9D9D9" w:themeFill="background1" w:themeFillShade="D9"/>
          </w:tcPr>
          <w:p w14:paraId="26604B14"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Quantity Reduction (tons/</w:t>
            </w:r>
            <w:proofErr w:type="spellStart"/>
            <w:r w:rsidRPr="00076222">
              <w:rPr>
                <w:rFonts w:ascii="Arial" w:hAnsi="Arial" w:cs="Arial"/>
                <w:sz w:val="20"/>
                <w:szCs w:val="20"/>
              </w:rPr>
              <w:t>yr</w:t>
            </w:r>
            <w:proofErr w:type="spellEnd"/>
            <w:r w:rsidRPr="00076222">
              <w:rPr>
                <w:rFonts w:ascii="Arial" w:hAnsi="Arial" w:cs="Arial"/>
                <w:sz w:val="20"/>
                <w:szCs w:val="20"/>
              </w:rPr>
              <w:t>)</w:t>
            </w:r>
          </w:p>
        </w:tc>
        <w:tc>
          <w:tcPr>
            <w:tcW w:w="1610" w:type="dxa"/>
            <w:shd w:val="clear" w:color="auto" w:fill="D9D9D9" w:themeFill="background1" w:themeFillShade="D9"/>
          </w:tcPr>
          <w:p w14:paraId="572D0CF0" w14:textId="77777777" w:rsidR="00606A9C" w:rsidRPr="00076222" w:rsidRDefault="00606A9C" w:rsidP="003B5401">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Compliance Mechanism</w:t>
            </w:r>
          </w:p>
        </w:tc>
      </w:tr>
      <w:tr w:rsidR="00606A9C" w14:paraId="03AFCB9A"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6731C75D" w14:textId="77777777" w:rsidR="00606A9C" w:rsidRPr="00076222" w:rsidRDefault="00606A9C" w:rsidP="003B5401">
            <w:pPr>
              <w:rPr>
                <w:rFonts w:ascii="Arial" w:hAnsi="Arial" w:cs="Arial"/>
                <w:sz w:val="20"/>
                <w:szCs w:val="20"/>
              </w:rPr>
            </w:pPr>
            <w:r w:rsidRPr="00076222">
              <w:rPr>
                <w:rFonts w:ascii="Arial" w:hAnsi="Arial" w:cs="Arial"/>
                <w:sz w:val="20"/>
                <w:szCs w:val="20"/>
              </w:rPr>
              <w:t>PacifiCorp Lake Side</w:t>
            </w:r>
          </w:p>
        </w:tc>
        <w:tc>
          <w:tcPr>
            <w:tcW w:w="1535" w:type="dxa"/>
          </w:tcPr>
          <w:p w14:paraId="7BBA1DE9" w14:textId="77777777" w:rsidR="00606A9C"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N/A </w:t>
            </w:r>
          </w:p>
          <w:p w14:paraId="2E1A7FC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(currently at RACT)</w:t>
            </w:r>
          </w:p>
        </w:tc>
        <w:tc>
          <w:tcPr>
            <w:tcW w:w="1800" w:type="dxa"/>
          </w:tcPr>
          <w:p w14:paraId="49A42917"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Retention of NOx limits from existing permit: </w:t>
            </w:r>
          </w:p>
          <w:p w14:paraId="39C93B9C"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Block 1: 14.9 </w:t>
            </w:r>
            <w:proofErr w:type="spellStart"/>
            <w:r w:rsidRPr="00076222">
              <w:rPr>
                <w:rFonts w:ascii="Arial" w:hAnsi="Arial" w:cs="Arial"/>
                <w:sz w:val="20"/>
                <w:szCs w:val="20"/>
              </w:rPr>
              <w:t>lb</w:t>
            </w:r>
            <w:proofErr w:type="spellEnd"/>
            <w:r w:rsidRPr="00076222">
              <w:rPr>
                <w:rFonts w:ascii="Arial" w:hAnsi="Arial" w:cs="Arial"/>
                <w:sz w:val="20"/>
                <w:szCs w:val="20"/>
              </w:rPr>
              <w:t>/</w:t>
            </w:r>
            <w:proofErr w:type="spellStart"/>
            <w:r w:rsidRPr="00076222">
              <w:rPr>
                <w:rFonts w:ascii="Arial" w:hAnsi="Arial" w:cs="Arial"/>
                <w:sz w:val="20"/>
                <w:szCs w:val="20"/>
              </w:rPr>
              <w:t>hr</w:t>
            </w:r>
            <w:proofErr w:type="spellEnd"/>
          </w:p>
          <w:p w14:paraId="7800AAD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 xml:space="preserve">Block 2: 18.1 </w:t>
            </w:r>
            <w:proofErr w:type="spellStart"/>
            <w:r w:rsidRPr="00076222">
              <w:rPr>
                <w:rFonts w:ascii="Arial" w:hAnsi="Arial" w:cs="Arial"/>
                <w:sz w:val="20"/>
                <w:szCs w:val="20"/>
              </w:rPr>
              <w:t>lb</w:t>
            </w:r>
            <w:proofErr w:type="spellEnd"/>
            <w:r w:rsidRPr="00076222">
              <w:rPr>
                <w:rFonts w:ascii="Arial" w:hAnsi="Arial" w:cs="Arial"/>
                <w:sz w:val="20"/>
                <w:szCs w:val="20"/>
              </w:rPr>
              <w:t>/</w:t>
            </w:r>
            <w:proofErr w:type="spellStart"/>
            <w:r w:rsidRPr="00076222">
              <w:rPr>
                <w:rFonts w:ascii="Arial" w:hAnsi="Arial" w:cs="Arial"/>
                <w:sz w:val="20"/>
                <w:szCs w:val="20"/>
              </w:rPr>
              <w:t>hr</w:t>
            </w:r>
            <w:proofErr w:type="spellEnd"/>
          </w:p>
        </w:tc>
        <w:tc>
          <w:tcPr>
            <w:tcW w:w="1800" w:type="dxa"/>
            <w:gridSpan w:val="2"/>
          </w:tcPr>
          <w:p w14:paraId="4CA795EF"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Already Implementing</w:t>
            </w:r>
          </w:p>
          <w:p w14:paraId="542FCDC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(use of SCR)</w:t>
            </w:r>
          </w:p>
        </w:tc>
        <w:tc>
          <w:tcPr>
            <w:tcW w:w="1350" w:type="dxa"/>
          </w:tcPr>
          <w:p w14:paraId="48F586CF"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N/A identical to previous existing RACT controls and permit as written</w:t>
            </w:r>
          </w:p>
        </w:tc>
        <w:tc>
          <w:tcPr>
            <w:tcW w:w="1610" w:type="dxa"/>
          </w:tcPr>
          <w:p w14:paraId="0E418C4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NOx CEM</w:t>
            </w:r>
          </w:p>
        </w:tc>
      </w:tr>
      <w:tr w:rsidR="00606A9C" w14:paraId="7F1DEDBB"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0A2288D3" w14:textId="77777777" w:rsidR="00606A9C" w:rsidRPr="00076222" w:rsidRDefault="00606A9C" w:rsidP="003B5401">
            <w:pPr>
              <w:rPr>
                <w:rFonts w:ascii="Arial" w:hAnsi="Arial" w:cs="Arial"/>
                <w:sz w:val="20"/>
                <w:szCs w:val="20"/>
              </w:rPr>
            </w:pPr>
            <w:proofErr w:type="spellStart"/>
            <w:r w:rsidRPr="00076222">
              <w:rPr>
                <w:rFonts w:ascii="Arial" w:hAnsi="Arial" w:cs="Arial"/>
                <w:sz w:val="20"/>
                <w:szCs w:val="20"/>
              </w:rPr>
              <w:t>McWane</w:t>
            </w:r>
            <w:proofErr w:type="spellEnd"/>
            <w:r w:rsidRPr="00076222">
              <w:rPr>
                <w:rFonts w:ascii="Arial" w:hAnsi="Arial" w:cs="Arial"/>
                <w:sz w:val="20"/>
                <w:szCs w:val="20"/>
              </w:rPr>
              <w:t xml:space="preserve"> Ductile</w:t>
            </w:r>
          </w:p>
        </w:tc>
        <w:tc>
          <w:tcPr>
            <w:tcW w:w="1535" w:type="dxa"/>
          </w:tcPr>
          <w:p w14:paraId="69E7AAC4"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Limiting VOC emissions 118.16 tons/</w:t>
            </w:r>
            <w:proofErr w:type="spellStart"/>
            <w:r w:rsidRPr="00076222">
              <w:rPr>
                <w:rFonts w:ascii="Arial" w:hAnsi="Arial" w:cs="Arial"/>
                <w:sz w:val="20"/>
                <w:szCs w:val="20"/>
              </w:rPr>
              <w:t>yr</w:t>
            </w:r>
            <w:proofErr w:type="spellEnd"/>
          </w:p>
        </w:tc>
        <w:tc>
          <w:tcPr>
            <w:tcW w:w="1800" w:type="dxa"/>
          </w:tcPr>
          <w:p w14:paraId="778F102B"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Replaced RACT limit w/ VOCs from finishing paint line &lt; 1 ton/day</w:t>
            </w:r>
          </w:p>
        </w:tc>
        <w:tc>
          <w:tcPr>
            <w:tcW w:w="1800" w:type="dxa"/>
            <w:gridSpan w:val="2"/>
          </w:tcPr>
          <w:p w14:paraId="466C423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Already implementing</w:t>
            </w:r>
          </w:p>
        </w:tc>
        <w:tc>
          <w:tcPr>
            <w:tcW w:w="1350" w:type="dxa"/>
          </w:tcPr>
          <w:p w14:paraId="42346CAE"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N/A</w:t>
            </w:r>
          </w:p>
        </w:tc>
        <w:tc>
          <w:tcPr>
            <w:tcW w:w="1610" w:type="dxa"/>
          </w:tcPr>
          <w:p w14:paraId="703A13FE"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Recordkeeping requirement outlined in IX.H.13.c.i.a</w:t>
            </w:r>
          </w:p>
        </w:tc>
      </w:tr>
      <w:tr w:rsidR="00606A9C" w14:paraId="73495378" w14:textId="77777777" w:rsidTr="003B5401">
        <w:tc>
          <w:tcPr>
            <w:cnfStyle w:val="001000000000" w:firstRow="0" w:lastRow="0" w:firstColumn="1" w:lastColumn="0" w:oddVBand="0" w:evenVBand="0" w:oddHBand="0" w:evenHBand="0" w:firstRowFirstColumn="0" w:firstRowLastColumn="0" w:lastRowFirstColumn="0" w:lastRowLastColumn="0"/>
            <w:tcW w:w="1255" w:type="dxa"/>
          </w:tcPr>
          <w:p w14:paraId="3A3625E1" w14:textId="77777777" w:rsidR="00606A9C" w:rsidRPr="00076222" w:rsidRDefault="00606A9C" w:rsidP="003B5401">
            <w:pPr>
              <w:rPr>
                <w:rFonts w:ascii="Arial" w:hAnsi="Arial" w:cs="Arial"/>
                <w:sz w:val="20"/>
                <w:szCs w:val="20"/>
              </w:rPr>
            </w:pPr>
          </w:p>
        </w:tc>
        <w:tc>
          <w:tcPr>
            <w:tcW w:w="1535" w:type="dxa"/>
          </w:tcPr>
          <w:p w14:paraId="4A5807D2"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Heat input limit on annealing ovens (63.29 MMBtu/</w:t>
            </w:r>
            <w:proofErr w:type="spellStart"/>
            <w:r w:rsidRPr="00076222">
              <w:rPr>
                <w:rFonts w:ascii="Arial" w:hAnsi="Arial" w:cs="Arial"/>
                <w:sz w:val="20"/>
                <w:szCs w:val="20"/>
              </w:rPr>
              <w:t>hr</w:t>
            </w:r>
            <w:proofErr w:type="spellEnd"/>
            <w:r w:rsidRPr="00076222">
              <w:rPr>
                <w:rFonts w:ascii="Arial" w:hAnsi="Arial" w:cs="Arial"/>
                <w:sz w:val="20"/>
                <w:szCs w:val="20"/>
              </w:rPr>
              <w:t>)</w:t>
            </w:r>
          </w:p>
        </w:tc>
        <w:tc>
          <w:tcPr>
            <w:tcW w:w="1800" w:type="dxa"/>
          </w:tcPr>
          <w:p w14:paraId="2E30F063"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Retained RACT limit as BACT</w:t>
            </w:r>
          </w:p>
        </w:tc>
        <w:tc>
          <w:tcPr>
            <w:tcW w:w="1800" w:type="dxa"/>
            <w:gridSpan w:val="2"/>
          </w:tcPr>
          <w:p w14:paraId="2682CB6D"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Already implementing</w:t>
            </w:r>
          </w:p>
        </w:tc>
        <w:tc>
          <w:tcPr>
            <w:tcW w:w="1350" w:type="dxa"/>
          </w:tcPr>
          <w:p w14:paraId="02C2D6B0" w14:textId="77777777" w:rsidR="00606A9C" w:rsidRPr="00076222" w:rsidRDefault="00606A9C" w:rsidP="003B5401">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N/A</w:t>
            </w:r>
          </w:p>
        </w:tc>
        <w:tc>
          <w:tcPr>
            <w:tcW w:w="1610" w:type="dxa"/>
          </w:tcPr>
          <w:p w14:paraId="07B2D95C" w14:textId="77777777" w:rsidR="00606A9C" w:rsidRPr="00076222" w:rsidRDefault="00606A9C" w:rsidP="005C258A">
            <w:pPr>
              <w:keepNext/>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76222">
              <w:rPr>
                <w:rFonts w:ascii="Arial" w:hAnsi="Arial" w:cs="Arial"/>
                <w:sz w:val="20"/>
                <w:szCs w:val="20"/>
              </w:rPr>
              <w:t>General requirements of IX.H.11.c</w:t>
            </w:r>
          </w:p>
        </w:tc>
      </w:tr>
    </w:tbl>
    <w:p w14:paraId="79FAE854" w14:textId="79E28686" w:rsidR="00695C2A" w:rsidRDefault="005C258A" w:rsidP="005C258A">
      <w:pPr>
        <w:pStyle w:val="Caption"/>
      </w:pPr>
      <w:bookmarkStart w:id="29" w:name="_Toc17201279"/>
      <w:r>
        <w:t xml:space="preserve">Table IX.A.27. </w:t>
      </w:r>
      <w:fldSimple w:instr=" SEQ Table_IX.A.27. \* ARABIC ">
        <w:r w:rsidR="00C012A9">
          <w:rPr>
            <w:noProof/>
          </w:rPr>
          <w:t>5</w:t>
        </w:r>
      </w:fldSimple>
      <w:r w:rsidRPr="005C258A">
        <w:t xml:space="preserve"> </w:t>
      </w:r>
      <w:r w:rsidRPr="00B43E24">
        <w:t>Point Source Emission Control Measure Implementation Schedule and Compliance Mechanism</w:t>
      </w:r>
      <w:bookmarkEnd w:id="29"/>
    </w:p>
    <w:p w14:paraId="00772560" w14:textId="77777777" w:rsidR="005C258A" w:rsidRDefault="005C258A" w:rsidP="000B22FA">
      <w:pPr>
        <w:rPr>
          <w:rFonts w:cs="Times New Roman"/>
        </w:rPr>
      </w:pPr>
    </w:p>
    <w:p w14:paraId="7E6F4875" w14:textId="25459597" w:rsidR="000B22FA" w:rsidRDefault="000B22FA" w:rsidP="000B22FA">
      <w:pPr>
        <w:rPr>
          <w:rFonts w:cs="Times New Roman"/>
          <w:color w:val="00B050"/>
        </w:rPr>
      </w:pPr>
      <w:r w:rsidRPr="000B22FA">
        <w:rPr>
          <w:rFonts w:cs="Times New Roman"/>
        </w:rPr>
        <w:t xml:space="preserve">As part of the Utah </w:t>
      </w:r>
      <w:r w:rsidR="00BD351F">
        <w:rPr>
          <w:rFonts w:cs="Times New Roman"/>
        </w:rPr>
        <w:t>m</w:t>
      </w:r>
      <w:r w:rsidRPr="000B22FA">
        <w:rPr>
          <w:rFonts w:cs="Times New Roman"/>
        </w:rPr>
        <w:t>oderate SIPs, 24 area source rules were either introduced or augmented to control PM</w:t>
      </w:r>
      <w:r w:rsidRPr="000B22FA">
        <w:rPr>
          <w:rFonts w:cs="Times New Roman"/>
          <w:vertAlign w:val="subscript"/>
        </w:rPr>
        <w:t>2.5</w:t>
      </w:r>
      <w:r w:rsidRPr="000B22FA">
        <w:rPr>
          <w:rFonts w:cs="Times New Roman"/>
        </w:rPr>
        <w:t xml:space="preserve"> and PM</w:t>
      </w:r>
      <w:r w:rsidRPr="000B22FA">
        <w:rPr>
          <w:rFonts w:cs="Times New Roman"/>
          <w:vertAlign w:val="subscript"/>
        </w:rPr>
        <w:t>2.5</w:t>
      </w:r>
      <w:r w:rsidRPr="000B22FA">
        <w:rPr>
          <w:rFonts w:cs="Times New Roman"/>
        </w:rPr>
        <w:t xml:space="preserve"> precursors. For the </w:t>
      </w:r>
      <w:r w:rsidR="004739ED">
        <w:rPr>
          <w:rFonts w:cs="Times New Roman"/>
        </w:rPr>
        <w:t>s</w:t>
      </w:r>
      <w:r w:rsidRPr="000B22FA">
        <w:rPr>
          <w:rFonts w:cs="Times New Roman"/>
        </w:rPr>
        <w:t xml:space="preserve">erious SIP area source BACM review, each of UDAQ’s existing area source rules were re-evaluated to ensure that all appropriate source categories were addressed in rulemaking and that the level of control required is consistent with BACM. For newly identified controls or enhancement of existing controls, an evaluation was made to determine technological and economic feasibility. The BACM review resulted in revisions to 13 different area source rules which affect surface coating (for a variety of different surfaces), graphic arts, and aerospace manufacture &amp; rework facilities. The rules and amendments are listed in </w:t>
      </w:r>
      <w:r w:rsidRPr="00B43E24">
        <w:rPr>
          <w:rFonts w:cs="Times New Roman"/>
          <w:color w:val="00B050"/>
        </w:rPr>
        <w:t>Table IX.</w:t>
      </w:r>
      <w:r w:rsidR="00A12BD9">
        <w:rPr>
          <w:rFonts w:cs="Times New Roman"/>
          <w:color w:val="00B050"/>
        </w:rPr>
        <w:t>A.</w:t>
      </w:r>
      <w:r w:rsidR="00A12BD9" w:rsidRPr="00B43E24">
        <w:rPr>
          <w:rFonts w:cs="Times New Roman"/>
          <w:color w:val="00B050"/>
        </w:rPr>
        <w:t>27.</w:t>
      </w:r>
      <w:r w:rsidR="0099516A" w:rsidRPr="00B43E24">
        <w:rPr>
          <w:rFonts w:cs="Times New Roman"/>
          <w:color w:val="00B050"/>
        </w:rPr>
        <w:t>4. Table IX.</w:t>
      </w:r>
      <w:r w:rsidR="00A12BD9">
        <w:rPr>
          <w:rFonts w:cs="Times New Roman"/>
          <w:color w:val="00B050"/>
        </w:rPr>
        <w:t>A.</w:t>
      </w:r>
      <w:r w:rsidR="004E5EDB">
        <w:rPr>
          <w:rFonts w:cs="Times New Roman"/>
          <w:color w:val="00B050"/>
        </w:rPr>
        <w:t>27</w:t>
      </w:r>
      <w:r w:rsidR="0099516A" w:rsidRPr="00B43E24">
        <w:rPr>
          <w:rFonts w:cs="Times New Roman"/>
          <w:color w:val="00B050"/>
        </w:rPr>
        <w:t>.6</w:t>
      </w:r>
      <w:r w:rsidRPr="00B43E24">
        <w:rPr>
          <w:rFonts w:cs="Times New Roman"/>
          <w:color w:val="00B050"/>
        </w:rPr>
        <w:t xml:space="preserve"> shows the effectiveness of the area source rules within </w:t>
      </w:r>
      <w:r w:rsidR="00B43E24" w:rsidRPr="00B43E24">
        <w:rPr>
          <w:rFonts w:cs="Times New Roman"/>
          <w:color w:val="00B050"/>
        </w:rPr>
        <w:t>Provo</w:t>
      </w:r>
      <w:r w:rsidRPr="00B43E24">
        <w:rPr>
          <w:rFonts w:cs="Times New Roman"/>
          <w:color w:val="00B050"/>
        </w:rPr>
        <w:t xml:space="preserve"> NAA.</w:t>
      </w:r>
    </w:p>
    <w:p w14:paraId="54EFFC27" w14:textId="12470A41" w:rsidR="00835064" w:rsidRDefault="00835064" w:rsidP="000B22FA">
      <w:pPr>
        <w:rPr>
          <w:rFonts w:cs="Times New Roman"/>
          <w:color w:val="0070C0"/>
        </w:rPr>
      </w:pPr>
    </w:p>
    <w:p w14:paraId="4A612BBD" w14:textId="0CD7E07C" w:rsidR="00835064" w:rsidRDefault="00835064" w:rsidP="000B22FA">
      <w:pPr>
        <w:rPr>
          <w:rFonts w:cs="Times New Roman"/>
          <w:color w:val="0070C0"/>
        </w:rPr>
      </w:pPr>
    </w:p>
    <w:p w14:paraId="50CB9AF6" w14:textId="2E04A5C3" w:rsidR="00835064" w:rsidRDefault="00835064" w:rsidP="000B22FA">
      <w:pPr>
        <w:rPr>
          <w:rFonts w:cs="Times New Roman"/>
          <w:color w:val="0070C0"/>
        </w:rPr>
      </w:pPr>
    </w:p>
    <w:p w14:paraId="0357EDE1" w14:textId="5F4D8184" w:rsidR="00835064" w:rsidRDefault="00835064" w:rsidP="000B22FA">
      <w:pPr>
        <w:rPr>
          <w:rFonts w:cs="Times New Roman"/>
          <w:color w:val="0070C0"/>
        </w:rPr>
      </w:pPr>
    </w:p>
    <w:p w14:paraId="3B6E884F" w14:textId="1A7012FF" w:rsidR="00835064" w:rsidRDefault="00835064" w:rsidP="000B22FA">
      <w:pPr>
        <w:rPr>
          <w:rFonts w:cs="Times New Roman"/>
          <w:color w:val="0070C0"/>
        </w:rPr>
      </w:pPr>
    </w:p>
    <w:p w14:paraId="58958160" w14:textId="7A911750" w:rsidR="00835064" w:rsidRDefault="00835064" w:rsidP="000B22FA">
      <w:pPr>
        <w:rPr>
          <w:rFonts w:cs="Times New Roman"/>
          <w:color w:val="0070C0"/>
        </w:rPr>
      </w:pPr>
    </w:p>
    <w:p w14:paraId="2B38574B" w14:textId="2B799C35" w:rsidR="00835064" w:rsidRDefault="00835064" w:rsidP="000B22FA">
      <w:pPr>
        <w:rPr>
          <w:rFonts w:cs="Times New Roman"/>
          <w:color w:val="0070C0"/>
        </w:rPr>
      </w:pPr>
    </w:p>
    <w:p w14:paraId="736A6D6D" w14:textId="54F4D613" w:rsidR="00835064" w:rsidRDefault="00835064" w:rsidP="000B22FA">
      <w:pPr>
        <w:rPr>
          <w:rFonts w:cs="Times New Roman"/>
          <w:color w:val="0070C0"/>
        </w:rPr>
      </w:pPr>
    </w:p>
    <w:p w14:paraId="4FC56AE5" w14:textId="63A2C4C8" w:rsidR="00835064" w:rsidRDefault="00835064" w:rsidP="000B22FA">
      <w:pPr>
        <w:rPr>
          <w:rFonts w:cs="Times New Roman"/>
          <w:color w:val="0070C0"/>
        </w:rPr>
      </w:pPr>
    </w:p>
    <w:p w14:paraId="76641494" w14:textId="78766F7E" w:rsidR="00835064" w:rsidRDefault="00835064" w:rsidP="000B22FA">
      <w:pPr>
        <w:rPr>
          <w:rFonts w:cs="Times New Roman"/>
          <w:color w:val="0070C0"/>
        </w:rPr>
      </w:pPr>
    </w:p>
    <w:p w14:paraId="38A8927B" w14:textId="77777777" w:rsidR="00835064" w:rsidRPr="000B22FA" w:rsidRDefault="00835064" w:rsidP="000B22FA">
      <w:pPr>
        <w:rPr>
          <w:rFonts w:cs="Times New Roman"/>
          <w:color w:val="0070C0"/>
        </w:rPr>
      </w:pPr>
    </w:p>
    <w:p w14:paraId="64072FD5" w14:textId="6AA2DD9C" w:rsidR="00F706B0" w:rsidRDefault="004457C1" w:rsidP="00F706B0">
      <w:pPr>
        <w:keepNext/>
        <w:rPr>
          <w:noProof/>
        </w:rPr>
      </w:pPr>
      <w:r w:rsidRPr="004457C1">
        <w:rPr>
          <w:noProof/>
        </w:rPr>
        <w:drawing>
          <wp:inline distT="0" distB="0" distL="0" distR="0" wp14:anchorId="3EA5DD67" wp14:editId="5D9650B3">
            <wp:extent cx="5399405" cy="4387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9405" cy="4387215"/>
                    </a:xfrm>
                    <a:prstGeom prst="rect">
                      <a:avLst/>
                    </a:prstGeom>
                    <a:noFill/>
                    <a:ln>
                      <a:noFill/>
                    </a:ln>
                  </pic:spPr>
                </pic:pic>
              </a:graphicData>
            </a:graphic>
          </wp:inline>
        </w:drawing>
      </w:r>
    </w:p>
    <w:p w14:paraId="4616DB70" w14:textId="01AA3932" w:rsidR="00835064" w:rsidRDefault="004457C1" w:rsidP="00F706B0">
      <w:pPr>
        <w:keepNext/>
      </w:pPr>
      <w:r w:rsidRPr="004457C1">
        <w:rPr>
          <w:noProof/>
        </w:rPr>
        <w:drawing>
          <wp:inline distT="0" distB="0" distL="0" distR="0" wp14:anchorId="480255D1" wp14:editId="322CF470">
            <wp:extent cx="5312410" cy="438721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12410" cy="4387215"/>
                    </a:xfrm>
                    <a:prstGeom prst="rect">
                      <a:avLst/>
                    </a:prstGeom>
                    <a:noFill/>
                    <a:ln>
                      <a:noFill/>
                    </a:ln>
                  </pic:spPr>
                </pic:pic>
              </a:graphicData>
            </a:graphic>
          </wp:inline>
        </w:drawing>
      </w:r>
    </w:p>
    <w:p w14:paraId="3BFB6CD8" w14:textId="09B227D0" w:rsidR="003F403A" w:rsidRDefault="00F706B0" w:rsidP="00F706B0">
      <w:pPr>
        <w:pStyle w:val="Caption"/>
      </w:pPr>
      <w:bookmarkStart w:id="30" w:name="_Toc17201280"/>
      <w:r>
        <w:t xml:space="preserve">Table IX.A.27. </w:t>
      </w:r>
      <w:fldSimple w:instr=" SEQ Table_IX.A.27. \* ARABIC ">
        <w:r w:rsidR="00C012A9">
          <w:rPr>
            <w:noProof/>
          </w:rPr>
          <w:t>6</w:t>
        </w:r>
      </w:fldSimple>
      <w:r w:rsidRPr="00F706B0">
        <w:t xml:space="preserve"> </w:t>
      </w:r>
      <w:r w:rsidRPr="00B43E24">
        <w:t xml:space="preserve">Area Source Rule Emissions Reduction in </w:t>
      </w:r>
      <w:r>
        <w:t>Provo</w:t>
      </w:r>
      <w:r w:rsidRPr="00B43E24">
        <w:t xml:space="preserve"> NAA</w:t>
      </w:r>
      <w:bookmarkEnd w:id="30"/>
    </w:p>
    <w:p w14:paraId="7D43628E" w14:textId="77777777" w:rsidR="00F706B0" w:rsidRPr="00F706B0" w:rsidRDefault="00F706B0" w:rsidP="00F706B0"/>
    <w:p w14:paraId="5547AD3B" w14:textId="0C13EEBF" w:rsidR="007C5EC1" w:rsidRPr="007C606B" w:rsidRDefault="007C5EC1" w:rsidP="007C5EC1">
      <w:pPr>
        <w:rPr>
          <w:rFonts w:cs="Times New Roman"/>
        </w:rPr>
      </w:pPr>
      <w:r w:rsidRPr="007C606B">
        <w:rPr>
          <w:rFonts w:cs="Times New Roman"/>
        </w:rPr>
        <w:t>In reality, the NAAs should expect to see continued improvement in the next five to ten years as a result of the phase-in period of a number of the area source rules</w:t>
      </w:r>
      <w:r w:rsidR="001A7806">
        <w:rPr>
          <w:rFonts w:cs="Times New Roman"/>
        </w:rPr>
        <w:t xml:space="preserve"> and some additional feasible measures i</w:t>
      </w:r>
      <w:r w:rsidR="001142D4">
        <w:rPr>
          <w:rFonts w:cs="Times New Roman"/>
        </w:rPr>
        <w:t>nstalled</w:t>
      </w:r>
      <w:r w:rsidR="001A7806">
        <w:rPr>
          <w:rFonts w:cs="Times New Roman"/>
        </w:rPr>
        <w:t xml:space="preserve"> at point sources</w:t>
      </w:r>
      <w:r w:rsidRPr="007C606B">
        <w:rPr>
          <w:rFonts w:cs="Times New Roman"/>
        </w:rPr>
        <w:t xml:space="preserve">. For example, the gas-fired water heater rule R307-230 requires </w:t>
      </w:r>
      <w:r w:rsidR="00621055">
        <w:rPr>
          <w:rFonts w:cs="Times New Roman"/>
        </w:rPr>
        <w:t xml:space="preserve">that </w:t>
      </w:r>
      <w:r w:rsidRPr="007C606B">
        <w:rPr>
          <w:rFonts w:cs="Times New Roman"/>
        </w:rPr>
        <w:t>only ultra-low NOx gas-fired water heaters to be sold or installed after July 1, 2018</w:t>
      </w:r>
      <w:r w:rsidR="002F23E9">
        <w:rPr>
          <w:rFonts w:cs="Times New Roman"/>
        </w:rPr>
        <w:t>, but i</w:t>
      </w:r>
      <w:r w:rsidRPr="007C606B">
        <w:rPr>
          <w:rFonts w:cs="Times New Roman"/>
        </w:rPr>
        <w:t xml:space="preserve">t takes years </w:t>
      </w:r>
      <w:r>
        <w:rPr>
          <w:rFonts w:cs="Times New Roman"/>
        </w:rPr>
        <w:t xml:space="preserve">for </w:t>
      </w:r>
      <w:r w:rsidRPr="007C606B">
        <w:rPr>
          <w:rFonts w:cs="Times New Roman"/>
        </w:rPr>
        <w:t xml:space="preserve">water heater turnover to occur. In addition, the 13 rules that were revised during the </w:t>
      </w:r>
      <w:r w:rsidR="004739ED">
        <w:rPr>
          <w:rFonts w:cs="Times New Roman"/>
        </w:rPr>
        <w:t>s</w:t>
      </w:r>
      <w:r w:rsidRPr="007C606B">
        <w:rPr>
          <w:rFonts w:cs="Times New Roman"/>
        </w:rPr>
        <w:t xml:space="preserve">erious SIP BACM review were implemented at the state level in 2018 and have a </w:t>
      </w:r>
      <w:r w:rsidR="001A7806" w:rsidRPr="007C606B">
        <w:rPr>
          <w:rFonts w:cs="Times New Roman"/>
        </w:rPr>
        <w:t>five-year</w:t>
      </w:r>
      <w:r w:rsidRPr="007C606B">
        <w:rPr>
          <w:rFonts w:cs="Times New Roman"/>
        </w:rPr>
        <w:t xml:space="preserve"> phase-in period, resulting in full emission reduction by 2023. Therefore, additional emissions reductions will be seen. These phase-in periods were </w:t>
      </w:r>
      <w:r w:rsidR="00EC24BC" w:rsidRPr="007C606B">
        <w:rPr>
          <w:rFonts w:cs="Times New Roman"/>
        </w:rPr>
        <w:t>considered</w:t>
      </w:r>
      <w:r w:rsidRPr="007C606B">
        <w:rPr>
          <w:rFonts w:cs="Times New Roman"/>
        </w:rPr>
        <w:t xml:space="preserve"> in the inventories used for modeling in this SIP. </w:t>
      </w:r>
    </w:p>
    <w:p w14:paraId="44F5A3DC" w14:textId="77777777" w:rsidR="0065686A" w:rsidRPr="00481CCC" w:rsidRDefault="0065686A" w:rsidP="0065686A">
      <w:pPr>
        <w:rPr>
          <w:rFonts w:cs="Times New Roman"/>
        </w:rPr>
      </w:pPr>
      <w:r w:rsidRPr="00481CCC">
        <w:rPr>
          <w:rFonts w:cs="Times New Roman"/>
        </w:rPr>
        <w:t>Existing controls not implemented through the SIP process also affect the emission rates from non-stationary source categories. The federal motor vehicle control program has been one of the most significant control strategies affecting emissions that produce PM</w:t>
      </w:r>
      <w:r w:rsidRPr="00481CCC">
        <w:rPr>
          <w:rFonts w:cs="Times New Roman"/>
          <w:vertAlign w:val="subscript"/>
        </w:rPr>
        <w:t>2.5</w:t>
      </w:r>
      <w:r w:rsidRPr="00481CCC">
        <w:rPr>
          <w:rFonts w:cs="Times New Roman"/>
        </w:rPr>
        <w:t xml:space="preserve">. Tier 1 and 2 standards were implemented by 1997 and 2008 respectively. Tier 3 vehicle/engine standards were initiated with new vehicles coming to market in 2017 (25% of new sales) with full phase in by 2021 (100% of new sales). For gasoline, the five Wasatch Front refineries and the Sinclair refinery in Wyoming that also supplies gasoline to the Wasatch Front market, are considered small refineries by EPA’s rule. As such, these refineries have a tier 3 delayed implementation date of January 1, 2020 to produce a tier 3 (10 ppm sulfur) gasoline product or produce a gasoline product (greater than 10 ppm sulfur) with compensating sulfur credits. Similarly, the Heavy-Duty Engine and Vehicle Standards took effect in 2007 and were fully phased in by 2010. Air quality benefits, particularly those stemming from the light-duty and heavy-duty vehicle standards, continue to be realized as older, higher-polluting vehicles are replaced by newer, cleaner vehicles. </w:t>
      </w:r>
    </w:p>
    <w:p w14:paraId="7FCE8423" w14:textId="06706094" w:rsidR="000B22FA" w:rsidRPr="00B43E24" w:rsidRDefault="000B22FA" w:rsidP="000B22FA">
      <w:pPr>
        <w:rPr>
          <w:rFonts w:cs="Times New Roman"/>
          <w:color w:val="00B050"/>
        </w:rPr>
      </w:pPr>
      <w:r w:rsidRPr="00B43E24">
        <w:rPr>
          <w:rFonts w:cs="Times New Roman"/>
          <w:color w:val="00B050"/>
        </w:rPr>
        <w:t xml:space="preserve">To supplement the federal motor vehicle control program, </w:t>
      </w:r>
      <w:r w:rsidR="00B43E24" w:rsidRPr="00B43E24">
        <w:rPr>
          <w:rFonts w:cs="Times New Roman"/>
          <w:color w:val="00B050"/>
        </w:rPr>
        <w:t xml:space="preserve">an </w:t>
      </w:r>
      <w:r w:rsidRPr="00B43E24">
        <w:rPr>
          <w:rFonts w:cs="Times New Roman"/>
          <w:color w:val="00B050"/>
        </w:rPr>
        <w:t>I</w:t>
      </w:r>
      <w:r w:rsidR="006E667D" w:rsidRPr="00B43E24">
        <w:rPr>
          <w:rFonts w:cs="Times New Roman"/>
          <w:color w:val="00B050"/>
        </w:rPr>
        <w:t xml:space="preserve">nspection and Maintenance </w:t>
      </w:r>
      <w:r w:rsidRPr="00B43E24">
        <w:rPr>
          <w:rFonts w:cs="Times New Roman"/>
          <w:color w:val="00B050"/>
        </w:rPr>
        <w:t>Program w</w:t>
      </w:r>
      <w:r w:rsidR="00B43E24" w:rsidRPr="00B43E24">
        <w:rPr>
          <w:rFonts w:cs="Times New Roman"/>
          <w:color w:val="00B050"/>
        </w:rPr>
        <w:t xml:space="preserve">as </w:t>
      </w:r>
      <w:r w:rsidRPr="00B43E24">
        <w:rPr>
          <w:rFonts w:cs="Times New Roman"/>
          <w:color w:val="00B050"/>
        </w:rPr>
        <w:t xml:space="preserve">implemented in </w:t>
      </w:r>
      <w:r w:rsidR="00B43E24" w:rsidRPr="00B43E24">
        <w:rPr>
          <w:rFonts w:cs="Times New Roman"/>
          <w:color w:val="00B050"/>
        </w:rPr>
        <w:t>Utah County</w:t>
      </w:r>
      <w:r w:rsidRPr="00B43E24">
        <w:rPr>
          <w:rFonts w:cs="Times New Roman"/>
          <w:color w:val="00B050"/>
        </w:rPr>
        <w:t>. Th</w:t>
      </w:r>
      <w:r w:rsidR="004D3360">
        <w:rPr>
          <w:rFonts w:cs="Times New Roman"/>
          <w:color w:val="00B050"/>
        </w:rPr>
        <w:t>is</w:t>
      </w:r>
      <w:r w:rsidRPr="00B43E24">
        <w:rPr>
          <w:rFonts w:cs="Times New Roman"/>
          <w:color w:val="00B050"/>
        </w:rPr>
        <w:t xml:space="preserve"> program ha</w:t>
      </w:r>
      <w:r w:rsidR="004D3360">
        <w:rPr>
          <w:rFonts w:cs="Times New Roman"/>
          <w:color w:val="00B050"/>
        </w:rPr>
        <w:t>s</w:t>
      </w:r>
      <w:r w:rsidRPr="00B43E24">
        <w:rPr>
          <w:rFonts w:cs="Times New Roman"/>
          <w:color w:val="00B050"/>
        </w:rPr>
        <w:t xml:space="preserve"> been effective in identifying vehicles that no longer meet the emission specifications for their respective makes and models and in ensuring that those vehicles are repaired in a timely manner. </w:t>
      </w:r>
    </w:p>
    <w:p w14:paraId="30B02668" w14:textId="2A0B054E" w:rsidR="000B22FA" w:rsidRPr="000B22FA" w:rsidRDefault="000B22FA" w:rsidP="000B22FA">
      <w:pPr>
        <w:rPr>
          <w:rFonts w:cs="Times New Roman"/>
          <w:color w:val="0070C0"/>
        </w:rPr>
      </w:pPr>
      <w:r w:rsidRPr="00B43E24">
        <w:rPr>
          <w:rFonts w:cs="Times New Roman"/>
          <w:color w:val="00B050"/>
        </w:rPr>
        <w:t xml:space="preserve">Emissions from non-road mobile emission sources also benefit from several significant regulatory programs enacted at the federal level.  This category of emitters includes airplanes, locomotives, hand-held engines, and larger portable engines such as generators and construction equipment.  The effectiveness of these controls has been incorporated into the “NONROAD” model UDAQ uses to compile the inventory information for this source category. </w:t>
      </w:r>
    </w:p>
    <w:p w14:paraId="4CA3AEAC" w14:textId="5EF23B95" w:rsidR="000B22FA" w:rsidRDefault="0045636A" w:rsidP="00E875DA">
      <w:pPr>
        <w:rPr>
          <w:rFonts w:cs="Times New Roman"/>
        </w:rPr>
      </w:pPr>
      <w:r w:rsidRPr="002B7B32">
        <w:rPr>
          <w:rFonts w:cs="Times New Roman"/>
        </w:rPr>
        <w:t>The emissions reductions resulting from federal programs and t</w:t>
      </w:r>
      <w:r w:rsidR="000B22FA" w:rsidRPr="002B7B32">
        <w:rPr>
          <w:rFonts w:cs="Times New Roman"/>
        </w:rPr>
        <w:t xml:space="preserve">he </w:t>
      </w:r>
      <w:r w:rsidR="005E5CC7" w:rsidRPr="002B7B32">
        <w:rPr>
          <w:rFonts w:cs="Times New Roman"/>
        </w:rPr>
        <w:t xml:space="preserve">RACM/RACT plus </w:t>
      </w:r>
      <w:r w:rsidR="000B22FA" w:rsidRPr="002B7B32">
        <w:rPr>
          <w:rFonts w:cs="Times New Roman"/>
        </w:rPr>
        <w:t>BACM/BACT controls incorporated into the Utah SIP or promulgated at the State level, result in emission</w:t>
      </w:r>
      <w:r w:rsidRPr="002B7B32">
        <w:rPr>
          <w:rFonts w:cs="Times New Roman"/>
        </w:rPr>
        <w:t>s</w:t>
      </w:r>
      <w:r w:rsidR="000B22FA" w:rsidRPr="002B7B32">
        <w:rPr>
          <w:rFonts w:cs="Times New Roman"/>
        </w:rPr>
        <w:t xml:space="preserve"> reductions that are consistent with the notion of permanent and enforceable improvements in air quality. Taken together with the trends in ambient air quality illustrated in the pre</w:t>
      </w:r>
      <w:r w:rsidR="006D5D8A">
        <w:rPr>
          <w:rFonts w:cs="Times New Roman"/>
        </w:rPr>
        <w:t>vious</w:t>
      </w:r>
      <w:r w:rsidR="000B22FA" w:rsidRPr="000B22FA">
        <w:rPr>
          <w:rFonts w:cs="Times New Roman"/>
        </w:rPr>
        <w:t xml:space="preserve"> paragraph, along with the continued implementation of the nonattainment SIP</w:t>
      </w:r>
      <w:r w:rsidR="00C52CB6">
        <w:rPr>
          <w:rFonts w:cs="Times New Roman"/>
        </w:rPr>
        <w:t xml:space="preserve"> elements</w:t>
      </w:r>
      <w:r w:rsidR="000B22FA" w:rsidRPr="000B22FA">
        <w:rPr>
          <w:rFonts w:cs="Times New Roman"/>
        </w:rPr>
        <w:t xml:space="preserve"> for the </w:t>
      </w:r>
      <w:r w:rsidR="00325D3B" w:rsidRPr="00325D3B">
        <w:rPr>
          <w:rFonts w:cs="Times New Roman"/>
          <w:color w:val="00B050"/>
        </w:rPr>
        <w:t>Provo</w:t>
      </w:r>
      <w:r w:rsidR="000B22FA" w:rsidRPr="00325D3B">
        <w:rPr>
          <w:rFonts w:cs="Times New Roman"/>
          <w:color w:val="00B050"/>
        </w:rPr>
        <w:t xml:space="preserve"> NAA</w:t>
      </w:r>
      <w:r w:rsidR="000B22FA" w:rsidRPr="000B22FA">
        <w:rPr>
          <w:rFonts w:cs="Times New Roman"/>
        </w:rPr>
        <w:t xml:space="preserve">, </w:t>
      </w:r>
      <w:r w:rsidR="006C3245">
        <w:rPr>
          <w:rFonts w:cs="Times New Roman"/>
        </w:rPr>
        <w:t xml:space="preserve">they </w:t>
      </w:r>
      <w:r w:rsidR="000B22FA" w:rsidRPr="000B22FA">
        <w:rPr>
          <w:rFonts w:cs="Times New Roman"/>
        </w:rPr>
        <w:t>provide a reliable indication that these improvements in air quality reflect the application of permanent steps to improve the air quality in the region.</w:t>
      </w:r>
    </w:p>
    <w:p w14:paraId="3E70DAF8" w14:textId="1CA0D580" w:rsidR="004C1422" w:rsidRPr="00C82B28" w:rsidRDefault="004C1422" w:rsidP="0048689A">
      <w:pPr>
        <w:pStyle w:val="Heading3"/>
      </w:pPr>
      <w:bookmarkStart w:id="31" w:name="_Toc17201193"/>
      <w:r w:rsidRPr="00C82B28">
        <w:t>State has Met Requirements of Section 110 and Part D</w:t>
      </w:r>
      <w:bookmarkEnd w:id="31"/>
      <w:r w:rsidRPr="00C82B28">
        <w:t xml:space="preserve"> </w:t>
      </w:r>
    </w:p>
    <w:p w14:paraId="228474CE" w14:textId="77777777" w:rsidR="002D4C65" w:rsidRPr="00027415" w:rsidRDefault="002D4C65" w:rsidP="002D4C65">
      <w:pPr>
        <w:rPr>
          <w:rFonts w:eastAsia="Calibri" w:cs="Times New Roman"/>
        </w:rPr>
      </w:pPr>
      <w:r w:rsidRPr="00027415">
        <w:rPr>
          <w:rFonts w:eastAsia="Calibri" w:cs="Times New Roman"/>
          <w:i/>
        </w:rPr>
        <w:t>CAA 107(d)(3)(E)(v) - The State containing such area has met all requirements applicable to the area under section 110 and part D</w:t>
      </w:r>
      <w:r w:rsidRPr="00027415">
        <w:rPr>
          <w:rFonts w:eastAsia="Calibri" w:cs="Times New Roman"/>
        </w:rPr>
        <w:t>. Section 110 of the Act deals with the broad scope of state implementation plans and the capacity of the respective state agency to effectively administer such a plan. Part D deals specifically with plan requirements for nonattainment areas, including those requirements that are specific to PM</w:t>
      </w:r>
      <w:r w:rsidRPr="00027415">
        <w:rPr>
          <w:rFonts w:eastAsia="Calibri" w:cs="Times New Roman"/>
          <w:vertAlign w:val="subscript"/>
        </w:rPr>
        <w:t>2.5</w:t>
      </w:r>
      <w:r w:rsidRPr="00027415">
        <w:rPr>
          <w:rFonts w:eastAsia="Calibri" w:cs="Times New Roman"/>
        </w:rPr>
        <w:t xml:space="preserve">. </w:t>
      </w:r>
    </w:p>
    <w:p w14:paraId="66A2C043" w14:textId="77777777" w:rsidR="00E0316A" w:rsidRDefault="00E0316A" w:rsidP="00087E00">
      <w:pPr>
        <w:pStyle w:val="Heading4"/>
        <w:numPr>
          <w:ilvl w:val="0"/>
          <w:numId w:val="3"/>
        </w:numPr>
      </w:pPr>
      <w:bookmarkStart w:id="32" w:name="_Toc17201194"/>
      <w:r>
        <w:t>Section 110</w:t>
      </w:r>
      <w:bookmarkEnd w:id="32"/>
    </w:p>
    <w:p w14:paraId="4E5E875B" w14:textId="22D01089" w:rsidR="002D4C65" w:rsidRDefault="002D4C65" w:rsidP="002D4C65">
      <w:pPr>
        <w:rPr>
          <w:rFonts w:cs="Times New Roman"/>
        </w:rPr>
      </w:pPr>
      <w:r>
        <w:rPr>
          <w:rFonts w:cs="Times New Roman"/>
        </w:rPr>
        <w:t xml:space="preserve">The State has met all requirements applicable to the </w:t>
      </w:r>
      <w:r w:rsidR="007C46C6" w:rsidRPr="007C46C6">
        <w:rPr>
          <w:rFonts w:cs="Times New Roman"/>
          <w:color w:val="00B050"/>
        </w:rPr>
        <w:t>Provo</w:t>
      </w:r>
      <w:r w:rsidRPr="007C46C6">
        <w:rPr>
          <w:rFonts w:cs="Times New Roman"/>
          <w:color w:val="00B050"/>
        </w:rPr>
        <w:t xml:space="preserve"> NAA</w:t>
      </w:r>
      <w:r>
        <w:rPr>
          <w:rFonts w:cs="Times New Roman"/>
        </w:rPr>
        <w:t xml:space="preserve"> under Section 110 of the Act. Section 110(a)(2) contains the general requirements or infrastructure elements necessary for EPA approval of the SIP. On September 21, 2010, the State submitted an Infrastructure SIP to EPA demonstrating compliance with the requirements of Section 110 that are applicable to the 2006 PM</w:t>
      </w:r>
      <w:r>
        <w:rPr>
          <w:rFonts w:cs="Times New Roman"/>
          <w:vertAlign w:val="subscript"/>
        </w:rPr>
        <w:t>2.5</w:t>
      </w:r>
      <w:r>
        <w:rPr>
          <w:rFonts w:cs="Times New Roman"/>
        </w:rPr>
        <w:t xml:space="preserve"> NAAQS. EPA approved the State’s Infrastructure SIP on November 25, 2013 (78 FR 63883) for all Section 110 requirements that are applicable to </w:t>
      </w:r>
      <w:proofErr w:type="spellStart"/>
      <w:r>
        <w:rPr>
          <w:rFonts w:cs="Times New Roman"/>
        </w:rPr>
        <w:t>redesignation</w:t>
      </w:r>
      <w:proofErr w:type="spellEnd"/>
      <w:r>
        <w:rPr>
          <w:rFonts w:cs="Times New Roman"/>
        </w:rPr>
        <w:t xml:space="preserve">.  </w:t>
      </w:r>
    </w:p>
    <w:p w14:paraId="5165880B" w14:textId="77777777" w:rsidR="00E0316A" w:rsidRDefault="00E0316A" w:rsidP="00087E00">
      <w:pPr>
        <w:pStyle w:val="Heading4"/>
        <w:numPr>
          <w:ilvl w:val="0"/>
          <w:numId w:val="19"/>
        </w:numPr>
      </w:pPr>
      <w:bookmarkStart w:id="33" w:name="_Toc17201195"/>
      <w:r>
        <w:t>Part D Subpart 1 and 4</w:t>
      </w:r>
      <w:bookmarkEnd w:id="33"/>
    </w:p>
    <w:p w14:paraId="18EAE435" w14:textId="737BD753" w:rsidR="002D4C65" w:rsidRDefault="002D4C65" w:rsidP="002D4C65">
      <w:r>
        <w:t xml:space="preserve">Part D of the Act addresses “Plan Requirements for Nonattainment Areas.” Subparts 1 and 4 of Part D contain planning elements that must be included in the SIP. This includes the requirement to submit an attainment demonstration, reasonable further progress plans, quantitative milestones and milestone reports, a motor vehicle emission budget for the attainment year for the purposes of transportation conformity, and contingency measures for the area. However, upon EPA’s issuance of a final clean data determination demonstrating that the </w:t>
      </w:r>
      <w:r w:rsidR="004A5BFC" w:rsidRPr="004A5BFC">
        <w:rPr>
          <w:color w:val="00B050"/>
        </w:rPr>
        <w:t xml:space="preserve">Provo </w:t>
      </w:r>
      <w:r w:rsidRPr="004A5BFC">
        <w:rPr>
          <w:color w:val="00B050"/>
        </w:rPr>
        <w:t>NAA</w:t>
      </w:r>
      <w:r>
        <w:t xml:space="preserve"> has attained the standard, these requirements are suspended (40 C.F.R. § 51.1015(b) and 84 FR 26054). </w:t>
      </w:r>
    </w:p>
    <w:p w14:paraId="0641955B" w14:textId="7883A4DB" w:rsidR="002D4C65" w:rsidRDefault="002D4C65" w:rsidP="002D4C65">
      <w:r>
        <w:t xml:space="preserve">The remaining Part D requirements that are relevant to </w:t>
      </w:r>
      <w:proofErr w:type="spellStart"/>
      <w:r>
        <w:t>redesignation</w:t>
      </w:r>
      <w:proofErr w:type="spellEnd"/>
      <w:r>
        <w:t xml:space="preserve"> are requirements that are independent of helping the area achieve attainment. This includes the requirement to have a nonattainment new source review (“NNSR”) program, emissions inventory submission, and implementation of BACM/BACT. The State has satisfied these remaining requirements. Utah’s NNSR program can be found in Utah Administrative Rule R307</w:t>
      </w:r>
      <w:r>
        <w:rPr>
          <w:rFonts w:cs="Times New Roman"/>
        </w:rPr>
        <w:t>-403, Permits: New and Modified Sources in Nonattainment Areas and Maintenance Areas.</w:t>
      </w:r>
      <w:r>
        <w:t xml:space="preserve"> EPA fully approved the current version of the NNSR program o</w:t>
      </w:r>
      <w:r>
        <w:rPr>
          <w:rFonts w:cs="Times New Roman"/>
        </w:rPr>
        <w:t xml:space="preserve">n July 25, 2019 (84 FR 35832). </w:t>
      </w:r>
      <w:r>
        <w:t xml:space="preserve">The BACM/BACT requirements and the emissions inventory were included in the </w:t>
      </w:r>
      <w:r w:rsidR="004739ED">
        <w:t>s</w:t>
      </w:r>
      <w:r>
        <w:t>erious SIP</w:t>
      </w:r>
      <w:r w:rsidR="008730D8">
        <w:t xml:space="preserve"> element submittal</w:t>
      </w:r>
      <w:r>
        <w:t xml:space="preserve"> for the </w:t>
      </w:r>
      <w:r w:rsidR="008730D8" w:rsidRPr="008730D8">
        <w:rPr>
          <w:color w:val="00B050"/>
        </w:rPr>
        <w:t>Provo</w:t>
      </w:r>
      <w:r w:rsidRPr="008730D8">
        <w:rPr>
          <w:color w:val="00B050"/>
        </w:rPr>
        <w:t xml:space="preserve"> NAA</w:t>
      </w:r>
      <w:r>
        <w:t xml:space="preserve"> that the State submitted to the EPA </w:t>
      </w:r>
      <w:r w:rsidRPr="00FF50D5">
        <w:rPr>
          <w:color w:val="00B050"/>
        </w:rPr>
        <w:t xml:space="preserve">on February </w:t>
      </w:r>
      <w:r w:rsidR="003B4F53" w:rsidRPr="00FF50D5">
        <w:rPr>
          <w:color w:val="00B050"/>
        </w:rPr>
        <w:t>4</w:t>
      </w:r>
      <w:r w:rsidRPr="00FF50D5">
        <w:rPr>
          <w:color w:val="00B050"/>
        </w:rPr>
        <w:t>, 2019</w:t>
      </w:r>
      <w:r>
        <w:t>. Upon EPA’s approval of these elements prior to or concurrently with EPA’s action on the maintenance plan/</w:t>
      </w:r>
      <w:proofErr w:type="spellStart"/>
      <w:r>
        <w:t>redesignation</w:t>
      </w:r>
      <w:proofErr w:type="spellEnd"/>
      <w:r>
        <w:t xml:space="preserve"> request, Utah will have complied with all applicable Part D requirements.</w:t>
      </w:r>
    </w:p>
    <w:p w14:paraId="4884C8C1" w14:textId="53716660" w:rsidR="004C1422" w:rsidRDefault="002D4C65" w:rsidP="002D4C65">
      <w:pPr>
        <w:pStyle w:val="Heading3"/>
      </w:pPr>
      <w:r>
        <w:t xml:space="preserve"> </w:t>
      </w:r>
      <w:bookmarkStart w:id="34" w:name="_Toc17201196"/>
      <w:r w:rsidR="00253E8F">
        <w:t>Maintenance Plan for PM</w:t>
      </w:r>
      <w:r w:rsidR="00253E8F" w:rsidRPr="00253E8F">
        <w:rPr>
          <w:vertAlign w:val="subscript"/>
        </w:rPr>
        <w:t>2.5</w:t>
      </w:r>
      <w:r w:rsidR="004C1422" w:rsidRPr="00253E8F">
        <w:rPr>
          <w:vertAlign w:val="subscript"/>
        </w:rPr>
        <w:t xml:space="preserve"> </w:t>
      </w:r>
      <w:r w:rsidR="004C1422" w:rsidRPr="00C82B28">
        <w:t>Areas</w:t>
      </w:r>
      <w:bookmarkEnd w:id="34"/>
      <w:r w:rsidR="004C1422" w:rsidRPr="00C82B28">
        <w:t xml:space="preserve"> </w:t>
      </w:r>
    </w:p>
    <w:p w14:paraId="29166A22" w14:textId="5A9812F4" w:rsidR="00253E8F" w:rsidRDefault="00253E8F" w:rsidP="00E875DA">
      <w:r w:rsidRPr="00253E8F">
        <w:t xml:space="preserve">As stated in the Act, an area may not </w:t>
      </w:r>
      <w:r w:rsidR="004D1D51">
        <w:t xml:space="preserve">be </w:t>
      </w:r>
      <w:proofErr w:type="spellStart"/>
      <w:r w:rsidR="004D1D51">
        <w:t>redesignated</w:t>
      </w:r>
      <w:proofErr w:type="spellEnd"/>
      <w:r w:rsidRPr="00253E8F">
        <w:t xml:space="preserve"> to attai</w:t>
      </w:r>
      <w:r w:rsidR="00F376DA">
        <w:t xml:space="preserve">nment without first submitting </w:t>
      </w:r>
      <w:r w:rsidRPr="00253E8F">
        <w:t xml:space="preserve">and </w:t>
      </w:r>
      <w:r w:rsidR="00F376DA">
        <w:t>receiving</w:t>
      </w:r>
      <w:r w:rsidR="00F519C5">
        <w:t xml:space="preserve"> EPA approval of </w:t>
      </w:r>
      <w:r w:rsidRPr="00253E8F">
        <w:t>a maintena</w:t>
      </w:r>
      <w:r w:rsidR="009134B3">
        <w:t xml:space="preserve">nce plan. The </w:t>
      </w:r>
      <w:r w:rsidR="00611DBC">
        <w:t xml:space="preserve">maintenance </w:t>
      </w:r>
      <w:r w:rsidR="009134B3">
        <w:t xml:space="preserve">plan is </w:t>
      </w:r>
      <w:r w:rsidRPr="00253E8F">
        <w:t xml:space="preserve">a quantitative showing that the area will continue to attain the NAAQS for an additional 10 years (from EPA approval), accompanied by sufficient assurance that the terms of the numeric demonstration will be administered by the State and by the EPA in an oversight capacity. The maintenance plan is the central criterion for </w:t>
      </w:r>
      <w:proofErr w:type="spellStart"/>
      <w:r w:rsidRPr="00253E8F">
        <w:t>redesignation</w:t>
      </w:r>
      <w:proofErr w:type="spellEnd"/>
      <w:r w:rsidRPr="00253E8F">
        <w:t>. It is contained in the following subsection.</w:t>
      </w:r>
    </w:p>
    <w:p w14:paraId="5BF261E8" w14:textId="774D66D2" w:rsidR="005D5458" w:rsidRDefault="006C190D" w:rsidP="006C190D">
      <w:pPr>
        <w:pStyle w:val="Heading1"/>
        <w:numPr>
          <w:ilvl w:val="0"/>
          <w:numId w:val="0"/>
        </w:numPr>
      </w:pPr>
      <w:bookmarkStart w:id="35" w:name="_Toc17201197"/>
      <w:r>
        <w:t>IX</w:t>
      </w:r>
      <w:r w:rsidR="00930C14">
        <w:t>.A.</w:t>
      </w:r>
      <w:r w:rsidR="00BC79C4">
        <w:t>27</w:t>
      </w:r>
      <w:r w:rsidR="00611537">
        <w:t>.c</w:t>
      </w:r>
      <w:r w:rsidR="005D5458">
        <w:t xml:space="preserve"> Maintenance Plan</w:t>
      </w:r>
      <w:bookmarkEnd w:id="35"/>
    </w:p>
    <w:p w14:paraId="6E6A0ADC" w14:textId="77777777" w:rsidR="00D22F03" w:rsidRDefault="00D22F03" w:rsidP="00D22F03">
      <w:r>
        <w:rPr>
          <w:i/>
          <w:iCs/>
        </w:rPr>
        <w:t xml:space="preserve">CAA 107(d)(3)(E)(iv) - The Administrator has fully approved a maintenance plan for the area as meeting the requirements of section 175A. </w:t>
      </w:r>
      <w:r>
        <w:t xml:space="preserve">An approved maintenance plan is one of several criteria necessary for area </w:t>
      </w:r>
      <w:proofErr w:type="spellStart"/>
      <w:r>
        <w:t>redesignation</w:t>
      </w:r>
      <w:proofErr w:type="spellEnd"/>
      <w:r>
        <w:t xml:space="preserve"> as outlined in Section 107(d)(3)(E) of the Act. The maintenance plan itself, as described in Section 175A of the Act and further addressed in EPA guidance</w:t>
      </w:r>
      <w:r>
        <w:rPr>
          <w:rStyle w:val="FootnoteReference"/>
        </w:rPr>
        <w:footnoteReference w:id="10"/>
      </w:r>
      <w:r>
        <w:t xml:space="preserve"> has its own list of required elements. The following table is presented to summarize these requirements. Each will then be addressed in turn.</w:t>
      </w:r>
    </w:p>
    <w:tbl>
      <w:tblPr>
        <w:tblW w:w="0" w:type="auto"/>
        <w:tblBorders>
          <w:top w:val="single" w:sz="4" w:space="0" w:color="auto"/>
          <w:bottom w:val="single" w:sz="4" w:space="0" w:color="auto"/>
          <w:insideH w:val="single" w:sz="4" w:space="0" w:color="auto"/>
        </w:tblBorders>
        <w:tblLook w:val="0000" w:firstRow="0" w:lastRow="0" w:firstColumn="0" w:lastColumn="0" w:noHBand="0" w:noVBand="0"/>
      </w:tblPr>
      <w:tblGrid>
        <w:gridCol w:w="1998"/>
        <w:gridCol w:w="4055"/>
        <w:gridCol w:w="1345"/>
        <w:gridCol w:w="1458"/>
      </w:tblGrid>
      <w:tr w:rsidR="00D22F03" w:rsidRPr="008419DD" w14:paraId="503659D0" w14:textId="77777777" w:rsidTr="008A58D4">
        <w:tc>
          <w:tcPr>
            <w:tcW w:w="1998" w:type="dxa"/>
            <w:shd w:val="clear" w:color="auto" w:fill="D9D9D9" w:themeFill="background1" w:themeFillShade="D9"/>
          </w:tcPr>
          <w:p w14:paraId="752F9ED7" w14:textId="77777777" w:rsidR="00D22F03" w:rsidRPr="009B05BB" w:rsidRDefault="00D22F03" w:rsidP="008A58D4">
            <w:pPr>
              <w:spacing w:after="0" w:line="240" w:lineRule="auto"/>
              <w:jc w:val="center"/>
              <w:rPr>
                <w:rFonts w:ascii="Arial" w:eastAsia="Times New Roman" w:hAnsi="Arial" w:cs="Arial"/>
                <w:b/>
                <w:bCs/>
                <w:sz w:val="20"/>
                <w:szCs w:val="20"/>
              </w:rPr>
            </w:pPr>
          </w:p>
          <w:p w14:paraId="3EEDA74D" w14:textId="77777777" w:rsidR="00D22F03" w:rsidRPr="009B05BB" w:rsidRDefault="00D22F03" w:rsidP="008A58D4">
            <w:pPr>
              <w:spacing w:after="0" w:line="240" w:lineRule="auto"/>
              <w:jc w:val="center"/>
              <w:rPr>
                <w:rFonts w:ascii="Arial" w:eastAsia="Times New Roman" w:hAnsi="Arial" w:cs="Arial"/>
                <w:b/>
                <w:bCs/>
                <w:sz w:val="20"/>
                <w:szCs w:val="20"/>
              </w:rPr>
            </w:pPr>
            <w:r w:rsidRPr="009B05BB">
              <w:rPr>
                <w:rFonts w:ascii="Arial" w:eastAsia="Times New Roman" w:hAnsi="Arial" w:cs="Arial"/>
                <w:b/>
                <w:bCs/>
                <w:sz w:val="20"/>
                <w:szCs w:val="20"/>
              </w:rPr>
              <w:t>Category</w:t>
            </w:r>
          </w:p>
        </w:tc>
        <w:tc>
          <w:tcPr>
            <w:tcW w:w="4055" w:type="dxa"/>
            <w:shd w:val="clear" w:color="auto" w:fill="D9D9D9" w:themeFill="background1" w:themeFillShade="D9"/>
          </w:tcPr>
          <w:p w14:paraId="3E37FEED" w14:textId="77777777" w:rsidR="00D22F03" w:rsidRPr="009B05BB" w:rsidRDefault="00D22F03" w:rsidP="008A58D4">
            <w:pPr>
              <w:spacing w:after="0" w:line="240" w:lineRule="auto"/>
              <w:jc w:val="center"/>
              <w:rPr>
                <w:rFonts w:ascii="Arial" w:eastAsia="Times New Roman" w:hAnsi="Arial" w:cs="Arial"/>
                <w:b/>
                <w:sz w:val="20"/>
                <w:szCs w:val="20"/>
              </w:rPr>
            </w:pPr>
          </w:p>
          <w:p w14:paraId="053BAEA8"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Requirement</w:t>
            </w:r>
          </w:p>
        </w:tc>
        <w:tc>
          <w:tcPr>
            <w:tcW w:w="1345" w:type="dxa"/>
            <w:shd w:val="clear" w:color="auto" w:fill="D9D9D9" w:themeFill="background1" w:themeFillShade="D9"/>
          </w:tcPr>
          <w:p w14:paraId="5DA80D5D" w14:textId="77777777" w:rsidR="00D22F03" w:rsidRPr="009B05BB" w:rsidRDefault="00D22F03" w:rsidP="008A58D4">
            <w:pPr>
              <w:spacing w:after="0" w:line="240" w:lineRule="auto"/>
              <w:jc w:val="center"/>
              <w:rPr>
                <w:rFonts w:ascii="Arial" w:eastAsia="Times New Roman" w:hAnsi="Arial" w:cs="Arial"/>
                <w:b/>
                <w:sz w:val="20"/>
                <w:szCs w:val="20"/>
              </w:rPr>
            </w:pPr>
          </w:p>
          <w:p w14:paraId="13159AAE"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Reference</w:t>
            </w:r>
          </w:p>
        </w:tc>
        <w:tc>
          <w:tcPr>
            <w:tcW w:w="1458" w:type="dxa"/>
            <w:shd w:val="clear" w:color="auto" w:fill="D9D9D9" w:themeFill="background1" w:themeFillShade="D9"/>
          </w:tcPr>
          <w:p w14:paraId="3EDBBC49"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Addressed</w:t>
            </w:r>
          </w:p>
          <w:p w14:paraId="0ED30368" w14:textId="77777777" w:rsidR="00D22F03" w:rsidRPr="009B05BB" w:rsidRDefault="00D22F03" w:rsidP="008A58D4">
            <w:pPr>
              <w:spacing w:after="0" w:line="240" w:lineRule="auto"/>
              <w:jc w:val="center"/>
              <w:rPr>
                <w:rFonts w:ascii="Arial" w:eastAsia="Times New Roman" w:hAnsi="Arial" w:cs="Arial"/>
                <w:b/>
                <w:sz w:val="20"/>
                <w:szCs w:val="20"/>
              </w:rPr>
            </w:pPr>
            <w:r w:rsidRPr="009B05BB">
              <w:rPr>
                <w:rFonts w:ascii="Arial" w:eastAsia="Times New Roman" w:hAnsi="Arial" w:cs="Arial"/>
                <w:b/>
                <w:sz w:val="20"/>
                <w:szCs w:val="20"/>
              </w:rPr>
              <w:t>in Section</w:t>
            </w:r>
          </w:p>
        </w:tc>
      </w:tr>
      <w:tr w:rsidR="00D22F03" w:rsidRPr="008419DD" w14:paraId="6AE51026" w14:textId="77777777" w:rsidTr="008A58D4">
        <w:tc>
          <w:tcPr>
            <w:tcW w:w="1998" w:type="dxa"/>
          </w:tcPr>
          <w:p w14:paraId="502060C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Maintenance demonstration</w:t>
            </w:r>
          </w:p>
        </w:tc>
        <w:tc>
          <w:tcPr>
            <w:tcW w:w="4055" w:type="dxa"/>
          </w:tcPr>
          <w:p w14:paraId="052D481A"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 xml:space="preserve">Provide for maintenance of the relevant NAAQS in the area for at least 10 years after </w:t>
            </w:r>
            <w:proofErr w:type="spellStart"/>
            <w:r w:rsidRPr="005143A7">
              <w:rPr>
                <w:rFonts w:ascii="Arial" w:eastAsia="Times New Roman" w:hAnsi="Arial" w:cs="Arial"/>
                <w:sz w:val="20"/>
                <w:szCs w:val="20"/>
              </w:rPr>
              <w:t>redesignation</w:t>
            </w:r>
            <w:proofErr w:type="spellEnd"/>
            <w:r w:rsidRPr="005143A7">
              <w:rPr>
                <w:rFonts w:ascii="Arial" w:eastAsia="Times New Roman" w:hAnsi="Arial" w:cs="Arial"/>
                <w:sz w:val="20"/>
                <w:szCs w:val="20"/>
              </w:rPr>
              <w:t>.</w:t>
            </w:r>
          </w:p>
        </w:tc>
        <w:tc>
          <w:tcPr>
            <w:tcW w:w="1345" w:type="dxa"/>
          </w:tcPr>
          <w:p w14:paraId="3533BB74"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175A(a)</w:t>
            </w:r>
          </w:p>
        </w:tc>
        <w:tc>
          <w:tcPr>
            <w:tcW w:w="1458" w:type="dxa"/>
          </w:tcPr>
          <w:p w14:paraId="1CAB18D9" w14:textId="24586668"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(1)</w:t>
            </w:r>
          </w:p>
        </w:tc>
      </w:tr>
      <w:tr w:rsidR="00D22F03" w:rsidRPr="008419DD" w14:paraId="4BD9D92D" w14:textId="77777777" w:rsidTr="008A58D4">
        <w:tc>
          <w:tcPr>
            <w:tcW w:w="1998" w:type="dxa"/>
          </w:tcPr>
          <w:p w14:paraId="70A98168"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Revise in 8 Years</w:t>
            </w:r>
          </w:p>
        </w:tc>
        <w:tc>
          <w:tcPr>
            <w:tcW w:w="4055" w:type="dxa"/>
          </w:tcPr>
          <w:p w14:paraId="31D65982"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 xml:space="preserve">The State must submit an additional revision to the plan, 8 years after </w:t>
            </w:r>
            <w:proofErr w:type="spellStart"/>
            <w:r w:rsidRPr="005143A7">
              <w:rPr>
                <w:rFonts w:ascii="Arial" w:eastAsia="Times New Roman" w:hAnsi="Arial" w:cs="Arial"/>
                <w:sz w:val="20"/>
                <w:szCs w:val="20"/>
              </w:rPr>
              <w:t>redesignation</w:t>
            </w:r>
            <w:proofErr w:type="spellEnd"/>
            <w:r w:rsidRPr="005143A7">
              <w:rPr>
                <w:rFonts w:ascii="Arial" w:eastAsia="Times New Roman" w:hAnsi="Arial" w:cs="Arial"/>
                <w:sz w:val="20"/>
                <w:szCs w:val="20"/>
              </w:rPr>
              <w:t>, showing an additional 10 years of maintenance.</w:t>
            </w:r>
          </w:p>
        </w:tc>
        <w:tc>
          <w:tcPr>
            <w:tcW w:w="1345" w:type="dxa"/>
          </w:tcPr>
          <w:p w14:paraId="0734AB4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175A(b)</w:t>
            </w:r>
          </w:p>
        </w:tc>
        <w:tc>
          <w:tcPr>
            <w:tcW w:w="1458" w:type="dxa"/>
          </w:tcPr>
          <w:p w14:paraId="0A9B1DC8" w14:textId="63AC3552"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6</w:t>
            </w:r>
            <w:r w:rsidRPr="005143A7">
              <w:rPr>
                <w:rFonts w:ascii="Arial" w:eastAsia="Times New Roman" w:hAnsi="Arial" w:cs="Arial"/>
                <w:sz w:val="20"/>
                <w:szCs w:val="20"/>
              </w:rPr>
              <w:t>)</w:t>
            </w:r>
          </w:p>
          <w:p w14:paraId="7BD23F78" w14:textId="77777777" w:rsidR="00D22F03" w:rsidRPr="005143A7" w:rsidRDefault="00D22F03" w:rsidP="008A58D4">
            <w:pPr>
              <w:spacing w:after="0" w:line="240" w:lineRule="auto"/>
              <w:rPr>
                <w:rFonts w:ascii="Arial" w:eastAsia="Times New Roman" w:hAnsi="Arial" w:cs="Arial"/>
                <w:sz w:val="20"/>
                <w:szCs w:val="20"/>
              </w:rPr>
            </w:pPr>
          </w:p>
        </w:tc>
      </w:tr>
      <w:tr w:rsidR="00D22F03" w:rsidRPr="008419DD" w14:paraId="609FDEFD" w14:textId="77777777" w:rsidTr="008A58D4">
        <w:tc>
          <w:tcPr>
            <w:tcW w:w="1998" w:type="dxa"/>
          </w:tcPr>
          <w:p w14:paraId="7F6D737A"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Continued Implementation of Nonattainment Area Control Strategy</w:t>
            </w:r>
          </w:p>
        </w:tc>
        <w:tc>
          <w:tcPr>
            <w:tcW w:w="4055" w:type="dxa"/>
          </w:tcPr>
          <w:p w14:paraId="24F4113F"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The Clean Air Act requires continued implementation of the</w:t>
            </w:r>
            <w:r>
              <w:rPr>
                <w:rFonts w:ascii="Arial" w:eastAsia="Times New Roman" w:hAnsi="Arial" w:cs="Arial"/>
                <w:sz w:val="20"/>
                <w:szCs w:val="20"/>
              </w:rPr>
              <w:t xml:space="preserve"> NAA</w:t>
            </w:r>
            <w:r w:rsidRPr="005143A7">
              <w:rPr>
                <w:rFonts w:ascii="Arial" w:eastAsia="Times New Roman" w:hAnsi="Arial" w:cs="Arial"/>
                <w:sz w:val="20"/>
                <w:szCs w:val="20"/>
              </w:rPr>
              <w:t xml:space="preserve"> control strategy unless such measures are shown to be unnecessary for maintenance or are replaced with measures that achieve equivalent reductions.</w:t>
            </w:r>
          </w:p>
        </w:tc>
        <w:tc>
          <w:tcPr>
            <w:tcW w:w="1345" w:type="dxa"/>
          </w:tcPr>
          <w:p w14:paraId="42467687"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175A(c)</w:t>
            </w:r>
            <w:r w:rsidRPr="005143A7">
              <w:rPr>
                <w:rFonts w:ascii="Arial" w:eastAsia="Times New Roman" w:hAnsi="Arial" w:cs="Arial"/>
                <w:b/>
                <w:bCs/>
                <w:sz w:val="20"/>
                <w:szCs w:val="20"/>
              </w:rPr>
              <w:t xml:space="preserve">, </w:t>
            </w:r>
            <w:r w:rsidRPr="005143A7">
              <w:rPr>
                <w:rFonts w:ascii="Arial" w:eastAsia="Times New Roman" w:hAnsi="Arial" w:cs="Arial"/>
                <w:sz w:val="20"/>
                <w:szCs w:val="20"/>
              </w:rPr>
              <w:t xml:space="preserve">110(l), </w:t>
            </w:r>
            <w:proofErr w:type="spellStart"/>
            <w:r w:rsidRPr="005143A7">
              <w:rPr>
                <w:rFonts w:ascii="Arial" w:eastAsia="Times New Roman" w:hAnsi="Arial" w:cs="Arial"/>
                <w:sz w:val="20"/>
                <w:szCs w:val="20"/>
              </w:rPr>
              <w:t>Calcagni</w:t>
            </w:r>
            <w:proofErr w:type="spellEnd"/>
            <w:r w:rsidRPr="005143A7">
              <w:rPr>
                <w:rFonts w:ascii="Arial" w:eastAsia="Times New Roman" w:hAnsi="Arial" w:cs="Arial"/>
                <w:sz w:val="20"/>
                <w:szCs w:val="20"/>
              </w:rPr>
              <w:t xml:space="preserve"> memo</w:t>
            </w:r>
          </w:p>
        </w:tc>
        <w:tc>
          <w:tcPr>
            <w:tcW w:w="1458" w:type="dxa"/>
          </w:tcPr>
          <w:p w14:paraId="243DEE50" w14:textId="4FC9C92B"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5</w:t>
            </w:r>
            <w:r w:rsidRPr="005143A7">
              <w:rPr>
                <w:rFonts w:ascii="Arial" w:eastAsia="Times New Roman" w:hAnsi="Arial" w:cs="Arial"/>
                <w:sz w:val="20"/>
                <w:szCs w:val="20"/>
              </w:rPr>
              <w:t>)</w:t>
            </w:r>
          </w:p>
          <w:p w14:paraId="76EC41A9"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color w:val="00B050"/>
                <w:sz w:val="20"/>
                <w:szCs w:val="20"/>
              </w:rPr>
              <w:t xml:space="preserve">                  </w:t>
            </w:r>
          </w:p>
        </w:tc>
      </w:tr>
      <w:tr w:rsidR="00D22F03" w:rsidRPr="008419DD" w14:paraId="04F71360" w14:textId="77777777" w:rsidTr="008A58D4">
        <w:tc>
          <w:tcPr>
            <w:tcW w:w="1998" w:type="dxa"/>
          </w:tcPr>
          <w:p w14:paraId="703A6DA5"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Contingency Measures</w:t>
            </w:r>
          </w:p>
        </w:tc>
        <w:tc>
          <w:tcPr>
            <w:tcW w:w="4055" w:type="dxa"/>
          </w:tcPr>
          <w:p w14:paraId="0C8D35B3"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 xml:space="preserve">Areas seeking </w:t>
            </w:r>
            <w:proofErr w:type="spellStart"/>
            <w:r w:rsidRPr="005143A7">
              <w:rPr>
                <w:rFonts w:ascii="Arial" w:eastAsia="Times New Roman" w:hAnsi="Arial" w:cs="Arial"/>
                <w:sz w:val="20"/>
                <w:szCs w:val="20"/>
              </w:rPr>
              <w:t>redesignation</w:t>
            </w:r>
            <w:proofErr w:type="spellEnd"/>
            <w:r w:rsidRPr="005143A7">
              <w:rPr>
                <w:rFonts w:ascii="Arial" w:eastAsia="Times New Roman" w:hAnsi="Arial" w:cs="Arial"/>
                <w:sz w:val="20"/>
                <w:szCs w:val="20"/>
              </w:rPr>
              <w:t xml:space="preserve"> from nonattainment to attainment are required to develop contingency measures that include State commitments to implement additional control measures in response to future violations of the NAAQS.</w:t>
            </w:r>
          </w:p>
        </w:tc>
        <w:tc>
          <w:tcPr>
            <w:tcW w:w="1345" w:type="dxa"/>
          </w:tcPr>
          <w:p w14:paraId="2051D717"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CAA:  Sec 175A(d)</w:t>
            </w:r>
          </w:p>
        </w:tc>
        <w:tc>
          <w:tcPr>
            <w:tcW w:w="1458" w:type="dxa"/>
          </w:tcPr>
          <w:p w14:paraId="7EB556A2" w14:textId="5EEED91F"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8</w:t>
            </w:r>
            <w:r w:rsidRPr="005143A7">
              <w:rPr>
                <w:rFonts w:ascii="Arial" w:eastAsia="Times New Roman" w:hAnsi="Arial" w:cs="Arial"/>
                <w:sz w:val="20"/>
                <w:szCs w:val="20"/>
              </w:rPr>
              <w:t>)</w:t>
            </w:r>
          </w:p>
          <w:p w14:paraId="0DC9776C" w14:textId="77777777" w:rsidR="00D22F03" w:rsidRPr="005143A7" w:rsidRDefault="00D22F03" w:rsidP="008A58D4">
            <w:pPr>
              <w:spacing w:after="0" w:line="240" w:lineRule="auto"/>
              <w:rPr>
                <w:rFonts w:ascii="Arial" w:eastAsia="Times New Roman" w:hAnsi="Arial" w:cs="Arial"/>
                <w:sz w:val="20"/>
                <w:szCs w:val="20"/>
              </w:rPr>
            </w:pPr>
          </w:p>
        </w:tc>
      </w:tr>
      <w:tr w:rsidR="00D22F03" w:rsidRPr="008419DD" w14:paraId="6B040D7C" w14:textId="77777777" w:rsidTr="008A58D4">
        <w:tc>
          <w:tcPr>
            <w:tcW w:w="1998" w:type="dxa"/>
          </w:tcPr>
          <w:p w14:paraId="15AEF2A4"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Verification of Continued Maintenance</w:t>
            </w:r>
          </w:p>
        </w:tc>
        <w:tc>
          <w:tcPr>
            <w:tcW w:w="4055" w:type="dxa"/>
          </w:tcPr>
          <w:p w14:paraId="739F29DC" w14:textId="77777777"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The maintenance plan must indicate how the State will track the progress of the maintenance plan.</w:t>
            </w:r>
          </w:p>
        </w:tc>
        <w:tc>
          <w:tcPr>
            <w:tcW w:w="1345" w:type="dxa"/>
          </w:tcPr>
          <w:p w14:paraId="3C15C42C" w14:textId="77777777" w:rsidR="00D22F03" w:rsidRPr="005143A7" w:rsidRDefault="00D22F03" w:rsidP="008A58D4">
            <w:pPr>
              <w:spacing w:after="0" w:line="240" w:lineRule="auto"/>
              <w:rPr>
                <w:rFonts w:ascii="Arial" w:eastAsia="Times New Roman" w:hAnsi="Arial" w:cs="Arial"/>
                <w:sz w:val="20"/>
                <w:szCs w:val="20"/>
              </w:rPr>
            </w:pPr>
            <w:proofErr w:type="spellStart"/>
            <w:r w:rsidRPr="005143A7">
              <w:rPr>
                <w:rFonts w:ascii="Arial" w:eastAsia="Times New Roman" w:hAnsi="Arial" w:cs="Arial"/>
                <w:sz w:val="20"/>
                <w:szCs w:val="20"/>
              </w:rPr>
              <w:t>Calcagni</w:t>
            </w:r>
            <w:proofErr w:type="spellEnd"/>
            <w:r w:rsidRPr="005143A7">
              <w:rPr>
                <w:rFonts w:ascii="Arial" w:eastAsia="Times New Roman" w:hAnsi="Arial" w:cs="Arial"/>
                <w:sz w:val="20"/>
                <w:szCs w:val="20"/>
              </w:rPr>
              <w:t xml:space="preserve"> memo</w:t>
            </w:r>
          </w:p>
        </w:tc>
        <w:tc>
          <w:tcPr>
            <w:tcW w:w="1458" w:type="dxa"/>
          </w:tcPr>
          <w:p w14:paraId="2A13B184" w14:textId="1F9DB721" w:rsidR="00D22F03" w:rsidRPr="005143A7" w:rsidRDefault="00D22F03" w:rsidP="008A58D4">
            <w:pPr>
              <w:spacing w:after="0" w:line="240" w:lineRule="auto"/>
              <w:rPr>
                <w:rFonts w:ascii="Arial" w:eastAsia="Times New Roman" w:hAnsi="Arial" w:cs="Arial"/>
                <w:sz w:val="20"/>
                <w:szCs w:val="20"/>
              </w:rPr>
            </w:pPr>
            <w:r w:rsidRPr="005143A7">
              <w:rPr>
                <w:rFonts w:ascii="Arial" w:eastAsia="Times New Roman" w:hAnsi="Arial" w:cs="Arial"/>
                <w:sz w:val="20"/>
                <w:szCs w:val="20"/>
              </w:rPr>
              <w:t>IX.A.</w:t>
            </w:r>
            <w:r w:rsidRPr="005143A7">
              <w:rPr>
                <w:rFonts w:ascii="Arial" w:eastAsia="Times New Roman" w:hAnsi="Arial" w:cs="Arial"/>
                <w:bCs/>
                <w:sz w:val="20"/>
                <w:szCs w:val="20"/>
              </w:rPr>
              <w:t>2</w:t>
            </w:r>
            <w:r w:rsidR="00F706B0">
              <w:rPr>
                <w:rFonts w:ascii="Arial" w:eastAsia="Times New Roman" w:hAnsi="Arial" w:cs="Arial"/>
                <w:bCs/>
                <w:sz w:val="20"/>
                <w:szCs w:val="20"/>
              </w:rPr>
              <w:t>7</w:t>
            </w:r>
            <w:r w:rsidRPr="005143A7">
              <w:rPr>
                <w:rFonts w:ascii="Arial" w:eastAsia="Times New Roman" w:hAnsi="Arial" w:cs="Arial"/>
                <w:sz w:val="20"/>
                <w:szCs w:val="20"/>
              </w:rPr>
              <w:t>.c (</w:t>
            </w:r>
            <w:r>
              <w:rPr>
                <w:rFonts w:ascii="Arial" w:eastAsia="Times New Roman" w:hAnsi="Arial" w:cs="Arial"/>
                <w:sz w:val="20"/>
                <w:szCs w:val="20"/>
              </w:rPr>
              <w:t>7</w:t>
            </w:r>
            <w:r w:rsidRPr="005143A7">
              <w:rPr>
                <w:rFonts w:ascii="Arial" w:eastAsia="Times New Roman" w:hAnsi="Arial" w:cs="Arial"/>
                <w:sz w:val="20"/>
                <w:szCs w:val="20"/>
              </w:rPr>
              <w:t>)</w:t>
            </w:r>
          </w:p>
          <w:p w14:paraId="508DCD26" w14:textId="77777777" w:rsidR="00D22F03" w:rsidRPr="005143A7" w:rsidRDefault="00D22F03" w:rsidP="00F706B0">
            <w:pPr>
              <w:keepNext/>
              <w:spacing w:after="0" w:line="240" w:lineRule="auto"/>
              <w:rPr>
                <w:rFonts w:ascii="Arial" w:eastAsia="Times New Roman" w:hAnsi="Arial" w:cs="Arial"/>
                <w:sz w:val="20"/>
                <w:szCs w:val="20"/>
              </w:rPr>
            </w:pPr>
          </w:p>
        </w:tc>
      </w:tr>
    </w:tbl>
    <w:p w14:paraId="6F6E8584" w14:textId="53712105" w:rsidR="00F050B2" w:rsidRPr="00F050B2" w:rsidRDefault="00F706B0" w:rsidP="00F706B0">
      <w:pPr>
        <w:pStyle w:val="Caption"/>
      </w:pPr>
      <w:bookmarkStart w:id="36" w:name="_Toc17201281"/>
      <w:r>
        <w:t xml:space="preserve">Table IX.A.27. </w:t>
      </w:r>
      <w:fldSimple w:instr=" SEQ Table_IX.A.27. \* ARABIC ">
        <w:r w:rsidR="00C012A9">
          <w:rPr>
            <w:noProof/>
          </w:rPr>
          <w:t>7</w:t>
        </w:r>
      </w:fldSimple>
      <w:r>
        <w:t xml:space="preserve"> CAA Maintenance Plan Requirements</w:t>
      </w:r>
      <w:bookmarkEnd w:id="36"/>
    </w:p>
    <w:p w14:paraId="7CA2ED06" w14:textId="5FC7E4D8" w:rsidR="004C1422" w:rsidRDefault="004C1422" w:rsidP="002E63CC">
      <w:pPr>
        <w:pStyle w:val="Heading2"/>
        <w:numPr>
          <w:ilvl w:val="0"/>
          <w:numId w:val="0"/>
        </w:numPr>
      </w:pPr>
      <w:bookmarkStart w:id="37" w:name="_Toc17201198"/>
      <w:r w:rsidRPr="00C82B28">
        <w:t>(1) Demonstration of Maintenance - Modeling Analysis</w:t>
      </w:r>
      <w:bookmarkEnd w:id="37"/>
      <w:r w:rsidRPr="00C82B28">
        <w:t xml:space="preserve"> </w:t>
      </w:r>
    </w:p>
    <w:p w14:paraId="02D9E5D6" w14:textId="77777777" w:rsidR="00D22F03" w:rsidRPr="00013E17" w:rsidRDefault="00D22F03" w:rsidP="00D22F03">
      <w:r w:rsidRPr="00482DCE">
        <w:rPr>
          <w:i/>
        </w:rPr>
        <w:t xml:space="preserve">CAA 175A(a) - Each State which submits a request under section 107(d) for </w:t>
      </w:r>
      <w:proofErr w:type="spellStart"/>
      <w:r w:rsidRPr="00482DCE">
        <w:rPr>
          <w:i/>
        </w:rPr>
        <w:t>redesignation</w:t>
      </w:r>
      <w:proofErr w:type="spellEnd"/>
      <w:r w:rsidRPr="00482DCE">
        <w:rPr>
          <w:i/>
        </w:rPr>
        <w:t xml:space="preserve"> of a nonattainment area as an area which has attained the NAAQS shall also submit a revision of the applicable implementation plan to provide for maintenance of the NAAQS for at least 10 years after the </w:t>
      </w:r>
      <w:proofErr w:type="spellStart"/>
      <w:r w:rsidRPr="00482DCE">
        <w:rPr>
          <w:i/>
        </w:rPr>
        <w:t>redesignation</w:t>
      </w:r>
      <w:proofErr w:type="spellEnd"/>
      <w:r w:rsidRPr="00482DCE">
        <w:rPr>
          <w:i/>
        </w:rPr>
        <w:t>.  The plan shall contain such additional measures, if any, as may be required to ensure such maintenance.</w:t>
      </w:r>
      <w:r w:rsidRPr="00013E17">
        <w:t xml:space="preserve">  The maintenance demonstration is discussed in EPA guidance</w:t>
      </w:r>
      <w:r>
        <w:rPr>
          <w:rStyle w:val="FootnoteReference"/>
          <w:rFonts w:eastAsia="Times New Roman" w:cs="Times New Roman"/>
        </w:rPr>
        <w:footnoteReference w:id="11"/>
      </w:r>
      <w:r>
        <w:t xml:space="preserve"> </w:t>
      </w:r>
      <w:r w:rsidRPr="00013E17">
        <w:t>as one of the core provisions that should be considered by states for inclusion in a maintenance plan.</w:t>
      </w:r>
    </w:p>
    <w:p w14:paraId="148901DC" w14:textId="46DCBD4B" w:rsidR="00D22F03" w:rsidRDefault="00D22F03" w:rsidP="00D22F03">
      <w:r w:rsidRPr="00013E17">
        <w:t xml:space="preserve"> According to </w:t>
      </w:r>
      <w:r>
        <w:t>the EPA guidance</w:t>
      </w:r>
      <w:r w:rsidRPr="00013E17">
        <w:t xml:space="preserve">, a State may generally demonstrate maintenance of the NAAQS by either showing that future emissions of a pollutant or its precursors will not exceed the level of the attainment inventory (discussed below) or by modeling to show that the future mix of sources and emission rates will not cause a violation of the NAAQS.  Utah has elected to make its demonstration based on air quality modeling.  </w:t>
      </w:r>
    </w:p>
    <w:p w14:paraId="116C0707" w14:textId="17BF59F2" w:rsidR="004C1422" w:rsidRDefault="004C1422" w:rsidP="00847F69">
      <w:pPr>
        <w:pStyle w:val="Heading3"/>
        <w:numPr>
          <w:ilvl w:val="0"/>
          <w:numId w:val="0"/>
        </w:numPr>
        <w:ind w:left="720" w:hanging="360"/>
      </w:pPr>
      <w:bookmarkStart w:id="38" w:name="_Toc17201199"/>
      <w:r w:rsidRPr="00C82B28">
        <w:t>(a) Introduction</w:t>
      </w:r>
      <w:bookmarkEnd w:id="38"/>
      <w:r w:rsidRPr="00C82B28">
        <w:t xml:space="preserve"> </w:t>
      </w:r>
    </w:p>
    <w:p w14:paraId="563F1A70" w14:textId="6D38996E" w:rsidR="00482DCE" w:rsidRDefault="00482DCE" w:rsidP="00482DCE">
      <w:r>
        <w:t xml:space="preserve">The following chapter presents an analysis using observational datasets to detail the chemical regimes of Utah’s NAAs. Prior to the develop of this maintenance plan, UDAQ conducted a technical analysis to support the development of the </w:t>
      </w:r>
      <w:r w:rsidR="004739ED">
        <w:t>s</w:t>
      </w:r>
      <w:r>
        <w:t>erious SIP for the SLC NAA. The analysis included preparation of emissions inventories and meteorological data, and the evaluation and application of a regional photochemical model. Part of this process included episode selection to determine the episode that most accurately replicates the photochemical formation of ambient PM</w:t>
      </w:r>
      <w:r w:rsidRPr="00D2143F">
        <w:rPr>
          <w:vertAlign w:val="subscript"/>
        </w:rPr>
        <w:t>2.5</w:t>
      </w:r>
      <w:r w:rsidRPr="00D2143F">
        <w:t xml:space="preserve"> </w:t>
      </w:r>
      <w:r>
        <w:t xml:space="preserve">during a persistent cold air pool episode in the airshed. For this maintenance plan, UDAQ is using the same episode that was used for the </w:t>
      </w:r>
      <w:r w:rsidR="004739ED">
        <w:t>s</w:t>
      </w:r>
      <w:r>
        <w:t>erious SIP modeling.</w:t>
      </w:r>
    </w:p>
    <w:p w14:paraId="78565727" w14:textId="16656BCD" w:rsidR="004C1422" w:rsidRDefault="004C1422" w:rsidP="00847F69">
      <w:pPr>
        <w:pStyle w:val="Heading3"/>
        <w:numPr>
          <w:ilvl w:val="0"/>
          <w:numId w:val="0"/>
        </w:numPr>
        <w:ind w:left="720" w:hanging="360"/>
      </w:pPr>
      <w:bookmarkStart w:id="39" w:name="_Toc17201200"/>
      <w:bookmarkStart w:id="40" w:name="_Hlk15901526"/>
      <w:r w:rsidRPr="00C82B28">
        <w:t>(b) Photochemical Modeling</w:t>
      </w:r>
      <w:bookmarkEnd w:id="39"/>
      <w:r w:rsidRPr="00C82B28">
        <w:t xml:space="preserve"> </w:t>
      </w:r>
    </w:p>
    <w:bookmarkEnd w:id="40"/>
    <w:p w14:paraId="1153FFC8" w14:textId="10217B89" w:rsidR="009C547D" w:rsidRDefault="009C547D" w:rsidP="009C547D">
      <w:pPr>
        <w:rPr>
          <w:lang w:val="en"/>
        </w:rPr>
      </w:pPr>
      <w:r w:rsidRPr="00B337F6">
        <w:rPr>
          <w:lang w:val="en"/>
        </w:rPr>
        <w:t>UDAQ used the Comprehensive Air Quality Model with Extensions (</w:t>
      </w:r>
      <w:proofErr w:type="spellStart"/>
      <w:r w:rsidRPr="00B337F6">
        <w:rPr>
          <w:lang w:val="en"/>
        </w:rPr>
        <w:t>CAMx</w:t>
      </w:r>
      <w:proofErr w:type="spellEnd"/>
      <w:r w:rsidRPr="00B337F6">
        <w:rPr>
          <w:lang w:val="en"/>
        </w:rPr>
        <w:t xml:space="preserve">) version 6.30 for air quality modeling. </w:t>
      </w:r>
      <w:proofErr w:type="spellStart"/>
      <w:r w:rsidRPr="00B337F6">
        <w:rPr>
          <w:lang w:val="en"/>
        </w:rPr>
        <w:t>CAMx</w:t>
      </w:r>
      <w:proofErr w:type="spellEnd"/>
      <w:r w:rsidRPr="00B337F6">
        <w:rPr>
          <w:lang w:val="en"/>
        </w:rPr>
        <w:t xml:space="preserve"> v6.30 is a state-of-the-art air quality model that includes State of Utah funded enhancements for wintertime modeling. These enhancements include snow chemistry, topographical and surface albedo refinements. </w:t>
      </w:r>
      <w:proofErr w:type="spellStart"/>
      <w:r w:rsidRPr="00B337F6">
        <w:rPr>
          <w:lang w:val="en"/>
        </w:rPr>
        <w:t>CAMx</w:t>
      </w:r>
      <w:proofErr w:type="spellEnd"/>
      <w:r w:rsidRPr="00B337F6">
        <w:rPr>
          <w:lang w:val="en"/>
        </w:rPr>
        <w:t xml:space="preserve"> is an EPA approved model for use in SIP modeling. Its configuration for use in this SIP, with respect to model options and model adjustments, is discussed in the Technical Support Document.</w:t>
      </w:r>
    </w:p>
    <w:p w14:paraId="6AE56F9E" w14:textId="027C9058" w:rsidR="007365F8" w:rsidRDefault="007365F8" w:rsidP="00087E00">
      <w:pPr>
        <w:pStyle w:val="Heading4"/>
        <w:numPr>
          <w:ilvl w:val="0"/>
          <w:numId w:val="14"/>
        </w:numPr>
      </w:pPr>
      <w:bookmarkStart w:id="41" w:name="_Toc17201201"/>
      <w:bookmarkStart w:id="42" w:name="_Hlk15891551"/>
      <w:r>
        <w:t>Emissions Preparation</w:t>
      </w:r>
      <w:bookmarkEnd w:id="41"/>
    </w:p>
    <w:bookmarkEnd w:id="42"/>
    <w:p w14:paraId="236C534F" w14:textId="77777777" w:rsidR="009C547D" w:rsidRPr="009C547D" w:rsidRDefault="009C547D" w:rsidP="009C547D">
      <w:pPr>
        <w:rPr>
          <w:lang w:val="en"/>
        </w:rPr>
      </w:pPr>
      <w:r w:rsidRPr="009C547D">
        <w:rPr>
          <w:lang w:val="en"/>
        </w:rPr>
        <w:t xml:space="preserve">The emissions processing model used in conjunction with </w:t>
      </w:r>
      <w:proofErr w:type="spellStart"/>
      <w:r w:rsidRPr="009C547D">
        <w:rPr>
          <w:lang w:val="en"/>
        </w:rPr>
        <w:t>CAMx</w:t>
      </w:r>
      <w:proofErr w:type="spellEnd"/>
      <w:r w:rsidRPr="009C547D">
        <w:rPr>
          <w:lang w:val="en"/>
        </w:rPr>
        <w:t xml:space="preserve"> is the Sparse Matrix Operator Kernel Emissions Modeling System (SMOKE) version 3.6.5</w:t>
      </w:r>
      <w:r w:rsidRPr="009C547D">
        <w:rPr>
          <w:vertAlign w:val="superscript"/>
          <w:lang w:val="en"/>
        </w:rPr>
        <w:footnoteReference w:id="12"/>
      </w:r>
      <w:r w:rsidRPr="009C547D">
        <w:rPr>
          <w:lang w:val="en"/>
        </w:rPr>
        <w:t>. SMOKE prepares the annual emissions inventory for use in the air quality model. There are three aspects to the preparation of an annual emissions inventory for air quality modeling:</w:t>
      </w:r>
    </w:p>
    <w:p w14:paraId="0DC4CFF0" w14:textId="77777777" w:rsidR="009C547D" w:rsidRPr="009C547D" w:rsidRDefault="009C547D" w:rsidP="00087E00">
      <w:pPr>
        <w:numPr>
          <w:ilvl w:val="0"/>
          <w:numId w:val="5"/>
        </w:numPr>
        <w:rPr>
          <w:lang w:val="en"/>
        </w:rPr>
      </w:pPr>
      <w:r w:rsidRPr="009C547D">
        <w:rPr>
          <w:lang w:val="en"/>
        </w:rPr>
        <w:t>Temporal:  Convert emissions from annual to daily, weekly and hourly values.</w:t>
      </w:r>
    </w:p>
    <w:p w14:paraId="5269D7EE" w14:textId="77777777" w:rsidR="009C547D" w:rsidRPr="009C547D" w:rsidRDefault="009C547D" w:rsidP="00087E00">
      <w:pPr>
        <w:numPr>
          <w:ilvl w:val="0"/>
          <w:numId w:val="5"/>
        </w:numPr>
        <w:rPr>
          <w:lang w:val="en"/>
        </w:rPr>
      </w:pPr>
      <w:r w:rsidRPr="009C547D">
        <w:rPr>
          <w:lang w:val="en"/>
        </w:rPr>
        <w:t>Spatial:  Convert emissions from a county-wide average to gridded emissions.</w:t>
      </w:r>
    </w:p>
    <w:p w14:paraId="418DAE53" w14:textId="77777777" w:rsidR="009C547D" w:rsidRPr="009C547D" w:rsidRDefault="009C547D" w:rsidP="00087E00">
      <w:pPr>
        <w:numPr>
          <w:ilvl w:val="0"/>
          <w:numId w:val="5"/>
        </w:numPr>
        <w:rPr>
          <w:lang w:val="en"/>
        </w:rPr>
      </w:pPr>
      <w:r w:rsidRPr="009C547D">
        <w:rPr>
          <w:lang w:val="en"/>
        </w:rPr>
        <w:t>Speciation:  Decompose PM</w:t>
      </w:r>
      <w:r w:rsidRPr="009C547D">
        <w:rPr>
          <w:vertAlign w:val="subscript"/>
          <w:lang w:val="en"/>
        </w:rPr>
        <w:t>2.5</w:t>
      </w:r>
      <w:r w:rsidRPr="009C547D">
        <w:rPr>
          <w:lang w:val="en"/>
        </w:rPr>
        <w:t xml:space="preserve"> and VOC emissions estimates into individual subspecies using the latest Carbon Bond 6 speciation profiles.</w:t>
      </w:r>
    </w:p>
    <w:p w14:paraId="736574AD" w14:textId="77777777" w:rsidR="009C547D" w:rsidRPr="009C547D" w:rsidRDefault="009C547D" w:rsidP="00F1038E">
      <w:pPr>
        <w:rPr>
          <w:lang w:val="en"/>
        </w:rPr>
      </w:pPr>
      <w:r w:rsidRPr="009C547D">
        <w:rPr>
          <w:lang w:val="en"/>
        </w:rPr>
        <w:t>The process of breaking down emissions for the air quality model was done with sets of activity profiles and associated cross reference files. These are created for point or large industrial source emissions, smaller area sources, and mobile sources. Direct PM</w:t>
      </w:r>
      <w:r w:rsidRPr="009C547D">
        <w:rPr>
          <w:vertAlign w:val="subscript"/>
          <w:lang w:val="en"/>
        </w:rPr>
        <w:t>2.5</w:t>
      </w:r>
      <w:r w:rsidRPr="009C547D">
        <w:rPr>
          <w:lang w:val="en"/>
        </w:rPr>
        <w:t xml:space="preserve"> and PM</w:t>
      </w:r>
      <w:r w:rsidRPr="009C547D">
        <w:rPr>
          <w:vertAlign w:val="subscript"/>
          <w:lang w:val="en"/>
        </w:rPr>
        <w:t>2.5</w:t>
      </w:r>
      <w:r w:rsidRPr="009C547D">
        <w:rPr>
          <w:lang w:val="en"/>
        </w:rPr>
        <w:t xml:space="preserve"> precursor estimates were modified via temporal profiles to reflect wintertime conditions. </w:t>
      </w:r>
    </w:p>
    <w:p w14:paraId="1639F87A" w14:textId="77777777" w:rsidR="009C547D" w:rsidRPr="009C547D" w:rsidRDefault="009C547D" w:rsidP="009C547D">
      <w:pPr>
        <w:rPr>
          <w:lang w:val="en"/>
        </w:rPr>
      </w:pPr>
      <w:r w:rsidRPr="009C547D">
        <w:rPr>
          <w:lang w:val="en"/>
        </w:rPr>
        <w:t>Activity profiles and their associated cross reference files from the EPA’s 2011v6</w:t>
      </w:r>
      <w:r w:rsidRPr="009C547D">
        <w:rPr>
          <w:vertAlign w:val="superscript"/>
          <w:lang w:val="en"/>
        </w:rPr>
        <w:footnoteReference w:id="13"/>
      </w:r>
      <w:r w:rsidRPr="009C547D">
        <w:rPr>
          <w:lang w:val="en"/>
        </w:rPr>
        <w:t xml:space="preserve"> modeling platform were used. For stationary non-point and mobile sources, spatial surrogates from the EPA Clearinghouse for Inventories and Emissions Factors (CHIEF</w:t>
      </w:r>
      <w:r w:rsidRPr="009C547D">
        <w:rPr>
          <w:vertAlign w:val="superscript"/>
          <w:lang w:val="en"/>
        </w:rPr>
        <w:footnoteReference w:id="14"/>
      </w:r>
      <w:r w:rsidRPr="009C547D">
        <w:rPr>
          <w:lang w:val="en"/>
        </w:rPr>
        <w:t>) were used to distribute emissions in space across the modeling domain. Emissions from large industrial sources (point sources) were placed at the location of the source itself. Where reliable local information was available (population density, traffic demand modeling, residential heating), profiles and surrogates were modified or developed to reflect that information.</w:t>
      </w:r>
    </w:p>
    <w:p w14:paraId="457AB473" w14:textId="18E0D562" w:rsidR="007365F8" w:rsidRDefault="007365F8" w:rsidP="00087E00">
      <w:pPr>
        <w:pStyle w:val="Heading4"/>
        <w:numPr>
          <w:ilvl w:val="0"/>
          <w:numId w:val="15"/>
        </w:numPr>
      </w:pPr>
      <w:bookmarkStart w:id="43" w:name="_Toc17201202"/>
      <w:bookmarkStart w:id="44" w:name="_Toc522890984"/>
      <w:r>
        <w:t>Photochemical Modeling Domains and Grid Resolution</w:t>
      </w:r>
      <w:bookmarkEnd w:id="43"/>
    </w:p>
    <w:bookmarkEnd w:id="44"/>
    <w:p w14:paraId="5780BCD0" w14:textId="73BADC57" w:rsidR="009C547D" w:rsidRPr="009C547D" w:rsidRDefault="009C547D" w:rsidP="009C547D">
      <w:pPr>
        <w:rPr>
          <w:lang w:val="en"/>
        </w:rPr>
      </w:pPr>
      <w:r w:rsidRPr="009C547D">
        <w:rPr>
          <w:lang w:val="en"/>
        </w:rPr>
        <w:t xml:space="preserve">The UDAQ </w:t>
      </w:r>
      <w:proofErr w:type="spellStart"/>
      <w:r w:rsidRPr="009C547D">
        <w:rPr>
          <w:lang w:val="en"/>
        </w:rPr>
        <w:t>CAMx</w:t>
      </w:r>
      <w:proofErr w:type="spellEnd"/>
      <w:r w:rsidRPr="009C547D">
        <w:rPr>
          <w:lang w:val="en"/>
        </w:rPr>
        <w:t xml:space="preserve"> </w:t>
      </w:r>
      <w:r w:rsidR="00EC24BC">
        <w:rPr>
          <w:lang w:val="en"/>
        </w:rPr>
        <w:t>v</w:t>
      </w:r>
      <w:r w:rsidRPr="009C547D">
        <w:rPr>
          <w:lang w:val="en"/>
        </w:rPr>
        <w:t>6.30 modeling framework consists of two spatial domains: a high-resolution 1.33 km domain nested inside of a coarser 4 km domain (</w:t>
      </w:r>
      <w:r w:rsidR="003A778A">
        <w:rPr>
          <w:color w:val="00B050"/>
          <w:lang w:val="en"/>
        </w:rPr>
        <w:t>see Figure IX.A.27.4</w:t>
      </w:r>
      <w:r w:rsidRPr="009C547D">
        <w:rPr>
          <w:lang w:val="en"/>
        </w:rPr>
        <w:t xml:space="preserve">). This configuration allows one to efficiently integrate regional effects with local impacts within the </w:t>
      </w:r>
      <w:r w:rsidRPr="002272AE">
        <w:rPr>
          <w:color w:val="00B050"/>
          <w:lang w:val="en"/>
        </w:rPr>
        <w:t>Provo NAA</w:t>
      </w:r>
      <w:r w:rsidRPr="009C547D">
        <w:rPr>
          <w:lang w:val="en"/>
        </w:rPr>
        <w:t>. Vertical resolution in the model consists of 41 layers extending to the top of the atmosphere.</w:t>
      </w:r>
    </w:p>
    <w:p w14:paraId="2218CA31" w14:textId="77777777" w:rsidR="00B1647C" w:rsidRDefault="009C547D" w:rsidP="00B1647C">
      <w:pPr>
        <w:keepNext/>
      </w:pPr>
      <w:r w:rsidRPr="009C547D">
        <w:rPr>
          <w:noProof/>
        </w:rPr>
        <w:drawing>
          <wp:inline distT="114300" distB="114300" distL="114300" distR="114300" wp14:anchorId="0A605DB1" wp14:editId="2DF6FB49">
            <wp:extent cx="5267325" cy="3429000"/>
            <wp:effectExtent l="0" t="0" r="0" b="0"/>
            <wp:docPr id="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8"/>
                    <a:srcRect/>
                    <a:stretch>
                      <a:fillRect/>
                    </a:stretch>
                  </pic:blipFill>
                  <pic:spPr>
                    <a:xfrm>
                      <a:off x="0" y="0"/>
                      <a:ext cx="5267325" cy="3429000"/>
                    </a:xfrm>
                    <a:prstGeom prst="rect">
                      <a:avLst/>
                    </a:prstGeom>
                    <a:ln/>
                  </pic:spPr>
                </pic:pic>
              </a:graphicData>
            </a:graphic>
          </wp:inline>
        </w:drawing>
      </w:r>
    </w:p>
    <w:p w14:paraId="56C40B89" w14:textId="78256587" w:rsidR="00B1647C" w:rsidRPr="00FB0958" w:rsidRDefault="00B1647C" w:rsidP="00B1647C">
      <w:pPr>
        <w:pStyle w:val="Caption"/>
        <w:rPr>
          <w:lang w:val="en"/>
        </w:rPr>
      </w:pPr>
      <w:bookmarkStart w:id="45" w:name="_Toc17201290"/>
      <w:r>
        <w:t xml:space="preserve">Figure IX.A.27. </w:t>
      </w:r>
      <w:fldSimple w:instr=" SEQ Figure_IX.A.27. \* ARABIC ">
        <w:r w:rsidR="00C012A9">
          <w:rPr>
            <w:noProof/>
          </w:rPr>
          <w:t>4</w:t>
        </w:r>
      </w:fldSimple>
      <w:r w:rsidRPr="00B1647C">
        <w:t xml:space="preserve"> </w:t>
      </w:r>
      <w:proofErr w:type="spellStart"/>
      <w:r w:rsidRPr="00FB0958">
        <w:t>CAMx</w:t>
      </w:r>
      <w:proofErr w:type="spellEnd"/>
      <w:r w:rsidRPr="00FB0958">
        <w:t xml:space="preserve"> Photochemical Modeling Domains in Two-Way Nested Configuration</w:t>
      </w:r>
      <w:bookmarkEnd w:id="45"/>
    </w:p>
    <w:p w14:paraId="2B4A2234" w14:textId="77777777" w:rsidR="0040194E" w:rsidRDefault="0040194E" w:rsidP="009C547D">
      <w:pPr>
        <w:rPr>
          <w:lang w:val="en"/>
        </w:rPr>
      </w:pPr>
    </w:p>
    <w:p w14:paraId="3D146819" w14:textId="754D2324" w:rsidR="009C547D" w:rsidRPr="009C547D" w:rsidRDefault="009C547D" w:rsidP="009C547D">
      <w:pPr>
        <w:rPr>
          <w:b/>
          <w:lang w:val="en"/>
        </w:rPr>
      </w:pPr>
      <w:r w:rsidRPr="009C547D">
        <w:rPr>
          <w:lang w:val="en"/>
        </w:rPr>
        <w:t>The UDAQ 4 km coarse domain covers the entire state of Utah, a significant portion of Eastern Nevada (including Las Vegas), as well as smaller portions of Idaho, Wyoming, Colorado, and Arizona. The fine 1.33 km domain covers all of Utah’s three PM</w:t>
      </w:r>
      <w:r w:rsidRPr="009C547D">
        <w:rPr>
          <w:vertAlign w:val="subscript"/>
          <w:lang w:val="en"/>
        </w:rPr>
        <w:t>2.5</w:t>
      </w:r>
      <w:r w:rsidRPr="009C547D">
        <w:rPr>
          <w:lang w:val="en"/>
        </w:rPr>
        <w:t xml:space="preserve"> nonattainment areas, including the </w:t>
      </w:r>
      <w:r w:rsidRPr="000B3C4B">
        <w:rPr>
          <w:color w:val="00B050"/>
          <w:lang w:val="en"/>
        </w:rPr>
        <w:t>Provo NAA</w:t>
      </w:r>
      <w:r w:rsidRPr="009C547D">
        <w:rPr>
          <w:lang w:val="en"/>
        </w:rPr>
        <w:t>. Throughout this document, we will refer to the fine 1.33 km domain as the “modeling domain” when the coarse domain is not specified.</w:t>
      </w:r>
    </w:p>
    <w:p w14:paraId="660F7299" w14:textId="687B178D" w:rsidR="00D63235" w:rsidRDefault="00D63235" w:rsidP="00087E00">
      <w:pPr>
        <w:pStyle w:val="Heading4"/>
        <w:numPr>
          <w:ilvl w:val="0"/>
          <w:numId w:val="16"/>
        </w:numPr>
      </w:pPr>
      <w:bookmarkStart w:id="46" w:name="_Toc17201203"/>
      <w:bookmarkStart w:id="47" w:name="_Toc522890985"/>
      <w:r>
        <w:t>Meteorological Data</w:t>
      </w:r>
      <w:bookmarkEnd w:id="46"/>
    </w:p>
    <w:bookmarkEnd w:id="47"/>
    <w:p w14:paraId="042F03F7" w14:textId="669F8418" w:rsidR="009C547D" w:rsidRPr="009C547D" w:rsidRDefault="009C547D" w:rsidP="009C547D">
      <w:pPr>
        <w:rPr>
          <w:lang w:val="en"/>
        </w:rPr>
      </w:pPr>
      <w:r w:rsidRPr="009C547D">
        <w:rPr>
          <w:lang w:val="en"/>
        </w:rPr>
        <w:t xml:space="preserve">Meteorological modeling was carried out by the University of Utah </w:t>
      </w:r>
      <w:r w:rsidR="00EC24BC">
        <w:rPr>
          <w:lang w:val="en"/>
        </w:rPr>
        <w:t xml:space="preserve">(University) </w:t>
      </w:r>
      <w:r w:rsidRPr="009C547D">
        <w:rPr>
          <w:lang w:val="en"/>
        </w:rPr>
        <w:t>with financial support from UDAQ.</w:t>
      </w:r>
    </w:p>
    <w:p w14:paraId="1AB7C31F" w14:textId="5F16245F" w:rsidR="009C547D" w:rsidRPr="009C547D" w:rsidRDefault="009C547D" w:rsidP="009C547D">
      <w:r w:rsidRPr="009C547D">
        <w:t>Meteorological inputs were derived using</w:t>
      </w:r>
      <w:r w:rsidRPr="009C547D">
        <w:rPr>
          <w:b/>
        </w:rPr>
        <w:t xml:space="preserve"> </w:t>
      </w:r>
      <w:r w:rsidRPr="009C547D">
        <w:t xml:space="preserve">the Weather Research and </w:t>
      </w:r>
      <w:r w:rsidRPr="009C547D">
        <w:rPr>
          <w:lang w:val="en"/>
        </w:rPr>
        <w:t>Forecasting</w:t>
      </w:r>
      <w:r w:rsidRPr="009C547D">
        <w:rPr>
          <w:vertAlign w:val="superscript"/>
          <w:lang w:val="en"/>
        </w:rPr>
        <w:footnoteReference w:id="15"/>
      </w:r>
      <w:r w:rsidRPr="009C547D">
        <w:rPr>
          <w:lang w:val="en"/>
        </w:rPr>
        <w:t xml:space="preserve"> </w:t>
      </w:r>
      <w:r w:rsidRPr="009C547D">
        <w:t>(WRF) Advanced Research WRF (WRF-ARW)</w:t>
      </w:r>
      <w:r w:rsidRPr="009C547D">
        <w:rPr>
          <w:lang w:val="en"/>
        </w:rPr>
        <w:t xml:space="preserve"> </w:t>
      </w:r>
      <w:r w:rsidR="00234D0B">
        <w:rPr>
          <w:lang w:val="en"/>
        </w:rPr>
        <w:t>m</w:t>
      </w:r>
      <w:r w:rsidRPr="009C547D">
        <w:rPr>
          <w:lang w:val="en"/>
        </w:rPr>
        <w:t>odel to prepare meteorological datasets for our use with the photochemical model</w:t>
      </w:r>
      <w:r w:rsidRPr="009C547D">
        <w:t>.  WRF contains separate modules to compute different physical processes such as surface energy budgets and soil interactions, turbulence, cloud microphysics, and atmospheric radiation. Within WRF, the user has many options for selecting the different schemes for each type of physical process. There is also a WRF Preprocessing System (WPS) that generates the initial and boundary conditions used by WRF, based on topographic datasets, land use information, and larger-scale atmospheric and oceanic models.</w:t>
      </w:r>
    </w:p>
    <w:p w14:paraId="65D7E049" w14:textId="6BB4C758" w:rsidR="001B45C6" w:rsidRPr="009C547D" w:rsidRDefault="009C547D" w:rsidP="001B45C6">
      <w:bookmarkStart w:id="48" w:name="OLE_LINK1"/>
      <w:bookmarkStart w:id="49" w:name="OLE_LINK2"/>
      <w:r w:rsidRPr="009C547D">
        <w:t>Model performance of WRF was assessed against observations at sites maintained by the University. WRF has reasonable ability to replicate the vertical temperature structure of the boundary layer (i.e., the temperature inversion), although it is difficult for WRF to reproduce the inversion when the inversion is shallow and strong (i.e., an 8</w:t>
      </w:r>
      <w:r w:rsidR="00376F32">
        <w:t>-</w:t>
      </w:r>
      <w:r w:rsidRPr="009C547D">
        <w:t>degree temperature increase over 100 vertical meters).</w:t>
      </w:r>
      <w:bookmarkEnd w:id="48"/>
      <w:bookmarkEnd w:id="49"/>
      <w:r w:rsidR="001B45C6" w:rsidRPr="001B45C6">
        <w:t xml:space="preserve"> </w:t>
      </w:r>
      <w:r w:rsidR="001B45C6" w:rsidRPr="009C547D">
        <w:t xml:space="preserve">A summary of the performance evaluation results for WRF is included in the </w:t>
      </w:r>
      <w:r w:rsidR="00EC24BC">
        <w:t>TSDs.</w:t>
      </w:r>
      <w:r w:rsidR="00234D0B">
        <w:t xml:space="preserve"> </w:t>
      </w:r>
    </w:p>
    <w:p w14:paraId="54FC7452" w14:textId="79CD3011" w:rsidR="00936097" w:rsidRDefault="00936097" w:rsidP="00087E00">
      <w:pPr>
        <w:pStyle w:val="Heading4"/>
        <w:numPr>
          <w:ilvl w:val="0"/>
          <w:numId w:val="17"/>
        </w:numPr>
      </w:pPr>
      <w:bookmarkStart w:id="50" w:name="_Toc17201204"/>
      <w:r>
        <w:t>E</w:t>
      </w:r>
      <w:r w:rsidR="00BC692A">
        <w:t>pisode Selection</w:t>
      </w:r>
      <w:bookmarkEnd w:id="50"/>
    </w:p>
    <w:p w14:paraId="56DC19FE" w14:textId="047B1AD6" w:rsidR="009C547D" w:rsidRPr="00936097" w:rsidRDefault="009C547D" w:rsidP="009C547D">
      <w:pPr>
        <w:rPr>
          <w:lang w:val="en"/>
        </w:rPr>
      </w:pPr>
      <w:r w:rsidRPr="009C547D">
        <w:rPr>
          <w:lang w:val="en"/>
        </w:rPr>
        <w:t>Part of the modeling exercise involves a test to see whether the model can successfully replicate the PM</w:t>
      </w:r>
      <w:r w:rsidRPr="009C547D">
        <w:rPr>
          <w:vertAlign w:val="subscript"/>
          <w:lang w:val="en"/>
        </w:rPr>
        <w:t>2.5</w:t>
      </w:r>
      <w:r w:rsidRPr="009C547D">
        <w:rPr>
          <w:lang w:val="en"/>
        </w:rPr>
        <w:t xml:space="preserve"> mass and composition that was observed during prior episode(s) of elevated PM</w:t>
      </w:r>
      <w:r w:rsidRPr="009C547D">
        <w:rPr>
          <w:vertAlign w:val="subscript"/>
          <w:lang w:val="en"/>
        </w:rPr>
        <w:t>2.5</w:t>
      </w:r>
      <w:r w:rsidRPr="009C547D">
        <w:rPr>
          <w:lang w:val="en"/>
        </w:rPr>
        <w:t xml:space="preserve"> concentration.</w:t>
      </w:r>
      <w:r w:rsidR="00936097">
        <w:rPr>
          <w:lang w:val="en"/>
        </w:rPr>
        <w:t xml:space="preserve"> </w:t>
      </w:r>
      <w:r w:rsidRPr="009C547D">
        <w:rPr>
          <w:lang w:val="en"/>
        </w:rPr>
        <w:t xml:space="preserve">The selection of an appropriate episode, or episodes, for use in this exercise requires some forethought and should determine the meteorological episode that helps produce the best air quality modeling performance. </w:t>
      </w:r>
      <w:r w:rsidRPr="009C547D">
        <w:t xml:space="preserve"> </w:t>
      </w:r>
    </w:p>
    <w:p w14:paraId="54DE046E" w14:textId="0FAF6A14" w:rsidR="009C547D" w:rsidRPr="009C547D" w:rsidRDefault="009C547D" w:rsidP="009C547D">
      <w:r w:rsidRPr="009C547D">
        <w:t>EPA</w:t>
      </w:r>
      <w:r w:rsidR="00936097">
        <w:t xml:space="preserve"> Guidance</w:t>
      </w:r>
      <w:r w:rsidR="00936097">
        <w:rPr>
          <w:rStyle w:val="FootnoteReference"/>
        </w:rPr>
        <w:footnoteReference w:id="16"/>
      </w:r>
      <w:r w:rsidRPr="009C547D">
        <w:t xml:space="preserve"> identifies some selection criteria that should be considered for SIP modeling, including:</w:t>
      </w:r>
    </w:p>
    <w:p w14:paraId="645CE406" w14:textId="77777777" w:rsidR="009C547D" w:rsidRPr="009C547D" w:rsidRDefault="009C547D" w:rsidP="00087E00">
      <w:pPr>
        <w:numPr>
          <w:ilvl w:val="0"/>
          <w:numId w:val="7"/>
        </w:numPr>
        <w:spacing w:after="0"/>
      </w:pPr>
      <w:r w:rsidRPr="009C547D">
        <w:t>Select episodes that represent a variety of meteorological conditions that lead to elevated PM</w:t>
      </w:r>
      <w:r w:rsidRPr="009C547D">
        <w:rPr>
          <w:vertAlign w:val="subscript"/>
        </w:rPr>
        <w:t>2.5</w:t>
      </w:r>
      <w:r w:rsidRPr="009C547D">
        <w:t>.</w:t>
      </w:r>
    </w:p>
    <w:p w14:paraId="5AA4A1E1" w14:textId="77777777" w:rsidR="009C547D" w:rsidRPr="009C547D" w:rsidRDefault="009C547D" w:rsidP="00087E00">
      <w:pPr>
        <w:numPr>
          <w:ilvl w:val="0"/>
          <w:numId w:val="7"/>
        </w:numPr>
        <w:spacing w:after="0"/>
      </w:pPr>
      <w:r w:rsidRPr="009C547D">
        <w:t>Select episodes during which observed concentrations are close to the baseline design value.</w:t>
      </w:r>
    </w:p>
    <w:p w14:paraId="78E31D8F" w14:textId="77777777" w:rsidR="009C547D" w:rsidRPr="009C547D" w:rsidRDefault="009C547D" w:rsidP="00087E00">
      <w:pPr>
        <w:numPr>
          <w:ilvl w:val="0"/>
          <w:numId w:val="7"/>
        </w:numPr>
        <w:spacing w:after="0"/>
      </w:pPr>
      <w:r w:rsidRPr="009C547D">
        <w:t>Select episodes that have extensive air quality data bases.</w:t>
      </w:r>
    </w:p>
    <w:p w14:paraId="3BF1FB93" w14:textId="1B9EDC8C" w:rsidR="009C547D" w:rsidRDefault="009C547D" w:rsidP="00087E00">
      <w:pPr>
        <w:numPr>
          <w:ilvl w:val="0"/>
          <w:numId w:val="7"/>
        </w:numPr>
        <w:spacing w:after="0"/>
      </w:pPr>
      <w:r w:rsidRPr="009C547D">
        <w:t>Select enough episodes such that the model attainment test is based on multiple days at each monitor violating NAAQS.</w:t>
      </w:r>
    </w:p>
    <w:p w14:paraId="387FAE7E" w14:textId="77777777" w:rsidR="00504033" w:rsidRPr="009C547D" w:rsidRDefault="00504033" w:rsidP="00504033">
      <w:pPr>
        <w:spacing w:after="0"/>
        <w:ind w:left="720"/>
      </w:pPr>
    </w:p>
    <w:p w14:paraId="4D4CFD5C" w14:textId="77777777" w:rsidR="009C547D" w:rsidRPr="009C547D" w:rsidRDefault="009C547D" w:rsidP="009C547D">
      <w:pPr>
        <w:rPr>
          <w:lang w:val="en"/>
        </w:rPr>
      </w:pPr>
      <w:r w:rsidRPr="009C547D">
        <w:rPr>
          <w:lang w:val="en"/>
        </w:rPr>
        <w:t>After careful consideration, the following meteorological episodes were selected as candidates for Utah’s SIP modeling:</w:t>
      </w:r>
    </w:p>
    <w:p w14:paraId="1DA08CCA" w14:textId="77777777" w:rsidR="009C547D" w:rsidRPr="009C547D" w:rsidRDefault="009C547D" w:rsidP="00087E00">
      <w:pPr>
        <w:numPr>
          <w:ilvl w:val="0"/>
          <w:numId w:val="8"/>
        </w:numPr>
        <w:spacing w:after="0"/>
        <w:rPr>
          <w:lang w:val="en"/>
        </w:rPr>
      </w:pPr>
      <w:r w:rsidRPr="009C547D">
        <w:rPr>
          <w:lang w:val="en"/>
        </w:rPr>
        <w:t>January 1-10, 2011</w:t>
      </w:r>
    </w:p>
    <w:p w14:paraId="3345D71C" w14:textId="77777777" w:rsidR="009C547D" w:rsidRPr="009C547D" w:rsidRDefault="009C547D" w:rsidP="00087E00">
      <w:pPr>
        <w:numPr>
          <w:ilvl w:val="0"/>
          <w:numId w:val="8"/>
        </w:numPr>
        <w:spacing w:after="0"/>
        <w:rPr>
          <w:lang w:val="en"/>
        </w:rPr>
      </w:pPr>
      <w:r w:rsidRPr="009C547D">
        <w:rPr>
          <w:lang w:val="en"/>
        </w:rPr>
        <w:t>December 7-19, 2013</w:t>
      </w:r>
    </w:p>
    <w:p w14:paraId="195A09B7" w14:textId="1555E421" w:rsidR="009C547D" w:rsidRDefault="009C547D" w:rsidP="00087E00">
      <w:pPr>
        <w:numPr>
          <w:ilvl w:val="0"/>
          <w:numId w:val="8"/>
        </w:numPr>
        <w:spacing w:after="0"/>
        <w:rPr>
          <w:lang w:val="en"/>
        </w:rPr>
      </w:pPr>
      <w:r w:rsidRPr="009C547D">
        <w:rPr>
          <w:lang w:val="en"/>
        </w:rPr>
        <w:t>February 1-16, 2016</w:t>
      </w:r>
    </w:p>
    <w:p w14:paraId="1B1D7CFD" w14:textId="77777777" w:rsidR="00504033" w:rsidRPr="009C547D" w:rsidRDefault="00504033" w:rsidP="00504033">
      <w:pPr>
        <w:spacing w:after="0"/>
        <w:ind w:left="720"/>
        <w:rPr>
          <w:lang w:val="en"/>
        </w:rPr>
      </w:pPr>
    </w:p>
    <w:p w14:paraId="2E338254" w14:textId="77777777" w:rsidR="009C547D" w:rsidRPr="009C547D" w:rsidRDefault="009C547D" w:rsidP="009C547D">
      <w:pPr>
        <w:rPr>
          <w:lang w:val="en"/>
        </w:rPr>
      </w:pPr>
      <w:r w:rsidRPr="009C547D">
        <w:rPr>
          <w:lang w:val="en"/>
        </w:rPr>
        <w:t>In addition to the criteria identified in the modeling guidance, each of these candidate episodes may be characterized as having the following atmospheric conditions:</w:t>
      </w:r>
    </w:p>
    <w:p w14:paraId="091BA9FC" w14:textId="77777777" w:rsidR="009C547D" w:rsidRPr="009C547D" w:rsidRDefault="009C547D" w:rsidP="00087E00">
      <w:pPr>
        <w:numPr>
          <w:ilvl w:val="0"/>
          <w:numId w:val="9"/>
        </w:numPr>
        <w:spacing w:after="0"/>
        <w:rPr>
          <w:lang w:val="en"/>
        </w:rPr>
      </w:pPr>
      <w:r w:rsidRPr="009C547D">
        <w:rPr>
          <w:lang w:val="en"/>
        </w:rPr>
        <w:t>Nearly non-existent surface winds</w:t>
      </w:r>
    </w:p>
    <w:p w14:paraId="0554D762" w14:textId="77777777" w:rsidR="009C547D" w:rsidRPr="009C547D" w:rsidRDefault="009C547D" w:rsidP="00087E00">
      <w:pPr>
        <w:numPr>
          <w:ilvl w:val="0"/>
          <w:numId w:val="9"/>
        </w:numPr>
        <w:spacing w:after="0"/>
        <w:rPr>
          <w:lang w:val="en"/>
        </w:rPr>
      </w:pPr>
      <w:r w:rsidRPr="009C547D">
        <w:rPr>
          <w:lang w:val="en"/>
        </w:rPr>
        <w:t>Light to moderate winds aloft (wind speeds at mountaintop &lt; 10-15 m/s)</w:t>
      </w:r>
    </w:p>
    <w:p w14:paraId="22D76BDF" w14:textId="77777777" w:rsidR="009C547D" w:rsidRPr="009C547D" w:rsidRDefault="009C547D" w:rsidP="00087E00">
      <w:pPr>
        <w:numPr>
          <w:ilvl w:val="0"/>
          <w:numId w:val="9"/>
        </w:numPr>
        <w:spacing w:after="0"/>
        <w:rPr>
          <w:lang w:val="en"/>
        </w:rPr>
      </w:pPr>
      <w:r w:rsidRPr="009C547D">
        <w:rPr>
          <w:lang w:val="en"/>
        </w:rPr>
        <w:t>Simple cloud structure in the lower troposphere (e.g., consisting of only one or no cloud layer)</w:t>
      </w:r>
    </w:p>
    <w:p w14:paraId="3D52165D" w14:textId="53C7553F" w:rsidR="009C547D" w:rsidRDefault="009C547D" w:rsidP="00087E00">
      <w:pPr>
        <w:numPr>
          <w:ilvl w:val="0"/>
          <w:numId w:val="9"/>
        </w:numPr>
        <w:spacing w:after="0"/>
        <w:rPr>
          <w:lang w:val="en"/>
        </w:rPr>
      </w:pPr>
      <w:r w:rsidRPr="009C547D">
        <w:rPr>
          <w:lang w:val="en"/>
        </w:rPr>
        <w:t>Singular 24-hour PM</w:t>
      </w:r>
      <w:r w:rsidRPr="009C547D">
        <w:rPr>
          <w:vertAlign w:val="subscript"/>
          <w:lang w:val="en"/>
        </w:rPr>
        <w:t>2.5</w:t>
      </w:r>
      <w:r w:rsidRPr="009C547D">
        <w:rPr>
          <w:lang w:val="en"/>
        </w:rPr>
        <w:t xml:space="preserve"> peaks suggesting the absence of weak intermittent storms during the episode</w:t>
      </w:r>
    </w:p>
    <w:p w14:paraId="211E2C41" w14:textId="77777777" w:rsidR="005E1277" w:rsidRPr="009C547D" w:rsidRDefault="005E1277" w:rsidP="005E1277">
      <w:pPr>
        <w:spacing w:after="0"/>
        <w:ind w:left="720"/>
        <w:rPr>
          <w:lang w:val="en"/>
        </w:rPr>
      </w:pPr>
    </w:p>
    <w:p w14:paraId="1130CB26" w14:textId="1E6B49AD" w:rsidR="009C547D" w:rsidRPr="009C547D" w:rsidRDefault="009C547D" w:rsidP="009C547D">
      <w:pPr>
        <w:rPr>
          <w:lang w:val="en"/>
        </w:rPr>
      </w:pPr>
      <w:r w:rsidRPr="009C547D">
        <w:rPr>
          <w:lang w:val="en"/>
        </w:rPr>
        <w:t>Previous work conducted by the University of Utah and UDAQ showed the four conditions listed above improve the likelihood for successfully simulating wintertime persistent cold air pools in the</w:t>
      </w:r>
      <w:r w:rsidR="001E70CF">
        <w:rPr>
          <w:lang w:val="en"/>
        </w:rPr>
        <w:t xml:space="preserve"> </w:t>
      </w:r>
      <w:r w:rsidRPr="009C547D">
        <w:rPr>
          <w:lang w:val="en"/>
        </w:rPr>
        <w:t>WRF model</w:t>
      </w:r>
      <w:r w:rsidR="00BC692A">
        <w:rPr>
          <w:rStyle w:val="FootnoteReference"/>
          <w:lang w:val="en"/>
        </w:rPr>
        <w:footnoteReference w:id="17"/>
      </w:r>
      <w:r w:rsidRPr="009C547D">
        <w:rPr>
          <w:lang w:val="en"/>
        </w:rPr>
        <w:t>. A comprehensive discussion of the meteorolog</w:t>
      </w:r>
      <w:r w:rsidR="00234D0B">
        <w:rPr>
          <w:lang w:val="en"/>
        </w:rPr>
        <w:t>ical</w:t>
      </w:r>
      <w:r w:rsidRPr="009C547D">
        <w:rPr>
          <w:lang w:val="en"/>
        </w:rPr>
        <w:t xml:space="preserve"> model performance for all three episodes may be found in the Technical Support Document</w:t>
      </w:r>
      <w:r w:rsidR="00234D0B">
        <w:rPr>
          <w:lang w:val="en"/>
        </w:rPr>
        <w:t xml:space="preserve"> </w:t>
      </w:r>
      <w:bookmarkStart w:id="51" w:name="OLE_LINK3"/>
      <w:bookmarkStart w:id="52" w:name="OLE_LINK4"/>
      <w:r w:rsidR="00234D0B">
        <w:rPr>
          <w:lang w:val="en"/>
        </w:rPr>
        <w:t>for the meteorological modeling</w:t>
      </w:r>
      <w:r w:rsidR="00BC692A">
        <w:rPr>
          <w:rStyle w:val="FootnoteReference"/>
          <w:lang w:val="en"/>
        </w:rPr>
        <w:footnoteReference w:id="18"/>
      </w:r>
      <w:bookmarkEnd w:id="51"/>
      <w:bookmarkEnd w:id="52"/>
      <w:r w:rsidRPr="009C547D">
        <w:rPr>
          <w:lang w:val="en"/>
        </w:rPr>
        <w:t xml:space="preserve">. </w:t>
      </w:r>
    </w:p>
    <w:p w14:paraId="189E6685" w14:textId="09F08AA1" w:rsidR="007A7DFC" w:rsidRPr="00352C95" w:rsidRDefault="007A7DFC" w:rsidP="00352C95">
      <w:pPr>
        <w:pStyle w:val="Heading5"/>
      </w:pPr>
      <w:bookmarkStart w:id="53" w:name="_meco52i5pz9" w:colFirst="0" w:colLast="0"/>
      <w:bookmarkStart w:id="54" w:name="_t0ywmy76nrhg" w:colFirst="0" w:colLast="0"/>
      <w:bookmarkStart w:id="55" w:name="_Toc522890987"/>
      <w:bookmarkEnd w:id="53"/>
      <w:bookmarkEnd w:id="54"/>
      <w:r w:rsidRPr="00352C95">
        <w:t xml:space="preserve"> Model Adjustments</w:t>
      </w:r>
      <w:r w:rsidR="00234D0B">
        <w:t xml:space="preserve"> and Settings</w:t>
      </w:r>
    </w:p>
    <w:bookmarkEnd w:id="55"/>
    <w:p w14:paraId="6BF8DB41" w14:textId="77777777" w:rsidR="009C547D" w:rsidRPr="009C547D" w:rsidRDefault="009C547D" w:rsidP="009C547D">
      <w:pPr>
        <w:rPr>
          <w:lang w:val="en"/>
        </w:rPr>
      </w:pPr>
      <w:r w:rsidRPr="009C547D">
        <w:rPr>
          <w:lang w:val="en"/>
        </w:rPr>
        <w:t xml:space="preserve">In order to better simulate Utah’s winter-time inversion episodes six different adjustments were made to </w:t>
      </w:r>
      <w:proofErr w:type="spellStart"/>
      <w:r w:rsidRPr="009C547D">
        <w:rPr>
          <w:lang w:val="en"/>
        </w:rPr>
        <w:t>CAMx</w:t>
      </w:r>
      <w:proofErr w:type="spellEnd"/>
      <w:r w:rsidRPr="009C547D">
        <w:rPr>
          <w:lang w:val="en"/>
        </w:rPr>
        <w:t xml:space="preserve"> input data:</w:t>
      </w:r>
    </w:p>
    <w:p w14:paraId="450032AA" w14:textId="11507E52" w:rsidR="009C547D" w:rsidRPr="009C547D" w:rsidRDefault="009C547D" w:rsidP="00087E00">
      <w:pPr>
        <w:numPr>
          <w:ilvl w:val="0"/>
          <w:numId w:val="6"/>
        </w:numPr>
        <w:spacing w:after="0"/>
        <w:rPr>
          <w:lang w:val="en"/>
        </w:rPr>
      </w:pPr>
      <w:r w:rsidRPr="009C547D">
        <w:rPr>
          <w:lang w:val="en"/>
        </w:rPr>
        <w:t>Increased vertical diffusion rates (</w:t>
      </w:r>
      <w:proofErr w:type="spellStart"/>
      <w:r w:rsidRPr="009C547D">
        <w:rPr>
          <w:lang w:val="en"/>
        </w:rPr>
        <w:t>Kvpatch</w:t>
      </w:r>
      <w:proofErr w:type="spellEnd"/>
      <w:r w:rsidRPr="009C547D">
        <w:rPr>
          <w:lang w:val="en"/>
        </w:rPr>
        <w:t>)</w:t>
      </w:r>
      <w:r w:rsidR="00EC24BC">
        <w:rPr>
          <w:lang w:val="en"/>
        </w:rPr>
        <w:t>.</w:t>
      </w:r>
    </w:p>
    <w:p w14:paraId="33A48CE2" w14:textId="580AD34C" w:rsidR="009C547D" w:rsidRPr="009C547D" w:rsidRDefault="009C547D" w:rsidP="00087E00">
      <w:pPr>
        <w:numPr>
          <w:ilvl w:val="0"/>
          <w:numId w:val="6"/>
        </w:numPr>
        <w:spacing w:after="0"/>
        <w:rPr>
          <w:lang w:val="en"/>
        </w:rPr>
      </w:pPr>
      <w:r w:rsidRPr="009C547D">
        <w:rPr>
          <w:lang w:val="en"/>
        </w:rPr>
        <w:t>Lowered residential wood smoke emissions to reflect burn ban compliance during forecasted high PM</w:t>
      </w:r>
      <w:r w:rsidRPr="009C547D">
        <w:rPr>
          <w:vertAlign w:val="subscript"/>
          <w:lang w:val="en"/>
        </w:rPr>
        <w:t>2.5</w:t>
      </w:r>
      <w:r w:rsidRPr="009C547D">
        <w:rPr>
          <w:lang w:val="en"/>
        </w:rPr>
        <w:t xml:space="preserve"> days (burn ban)</w:t>
      </w:r>
      <w:r w:rsidR="00EC24BC">
        <w:rPr>
          <w:lang w:val="en"/>
        </w:rPr>
        <w:t>.</w:t>
      </w:r>
    </w:p>
    <w:p w14:paraId="4ABD8DDF" w14:textId="77777777" w:rsidR="009C547D" w:rsidRPr="009C547D" w:rsidRDefault="009C547D" w:rsidP="00087E00">
      <w:pPr>
        <w:numPr>
          <w:ilvl w:val="0"/>
          <w:numId w:val="6"/>
        </w:numPr>
        <w:spacing w:after="0"/>
        <w:rPr>
          <w:lang w:val="en"/>
        </w:rPr>
      </w:pPr>
      <w:r w:rsidRPr="009C547D">
        <w:rPr>
          <w:lang w:val="en"/>
        </w:rPr>
        <w:t>Ozone deposition velocity set to zero and increased urban area surface albedo (snow chemistry)</w:t>
      </w:r>
    </w:p>
    <w:p w14:paraId="64F880B2" w14:textId="3258FDB3" w:rsidR="009C547D" w:rsidRPr="009C547D" w:rsidRDefault="009C547D" w:rsidP="00087E00">
      <w:pPr>
        <w:numPr>
          <w:ilvl w:val="0"/>
          <w:numId w:val="6"/>
        </w:numPr>
        <w:spacing w:after="0"/>
        <w:rPr>
          <w:lang w:val="en"/>
        </w:rPr>
      </w:pPr>
      <w:r w:rsidRPr="009C547D">
        <w:rPr>
          <w:lang w:val="en"/>
        </w:rPr>
        <w:t>Cloud water content reduced during certain days (cloud adjustment)</w:t>
      </w:r>
      <w:r w:rsidR="00EC24BC">
        <w:rPr>
          <w:lang w:val="en"/>
        </w:rPr>
        <w:t>.</w:t>
      </w:r>
    </w:p>
    <w:p w14:paraId="2C6E20F4" w14:textId="0CE7F56F" w:rsidR="009C547D" w:rsidRPr="009C547D" w:rsidRDefault="007F2C7E" w:rsidP="00087E00">
      <w:pPr>
        <w:numPr>
          <w:ilvl w:val="0"/>
          <w:numId w:val="6"/>
        </w:numPr>
        <w:spacing w:after="0"/>
        <w:rPr>
          <w:lang w:val="en"/>
        </w:rPr>
      </w:pPr>
      <w:r>
        <w:rPr>
          <w:lang w:val="en"/>
        </w:rPr>
        <w:t>NH</w:t>
      </w:r>
      <w:r>
        <w:rPr>
          <w:vertAlign w:val="subscript"/>
          <w:lang w:val="en"/>
        </w:rPr>
        <w:t>3</w:t>
      </w:r>
      <w:r w:rsidR="009C547D" w:rsidRPr="009C547D">
        <w:rPr>
          <w:lang w:val="en"/>
        </w:rPr>
        <w:t xml:space="preserve"> injection to account for missing </w:t>
      </w:r>
      <w:r>
        <w:rPr>
          <w:lang w:val="en"/>
        </w:rPr>
        <w:t>NH</w:t>
      </w:r>
      <w:r>
        <w:rPr>
          <w:vertAlign w:val="subscript"/>
          <w:lang w:val="en"/>
        </w:rPr>
        <w:t>3</w:t>
      </w:r>
      <w:r w:rsidR="009C547D" w:rsidRPr="009C547D">
        <w:rPr>
          <w:lang w:val="en"/>
        </w:rPr>
        <w:t xml:space="preserve"> sources in UDAQ’s inventory. This is defined as artificially adding non-inventoried </w:t>
      </w:r>
      <w:r>
        <w:rPr>
          <w:lang w:val="en"/>
        </w:rPr>
        <w:t>NH</w:t>
      </w:r>
      <w:r>
        <w:rPr>
          <w:vertAlign w:val="subscript"/>
          <w:lang w:val="en"/>
        </w:rPr>
        <w:t>3</w:t>
      </w:r>
      <w:r w:rsidR="009C547D" w:rsidRPr="009C547D">
        <w:rPr>
          <w:lang w:val="en"/>
        </w:rPr>
        <w:t xml:space="preserve"> emissions to the inventoried emissions that are input into </w:t>
      </w:r>
      <w:proofErr w:type="spellStart"/>
      <w:r w:rsidR="009C547D" w:rsidRPr="009C547D">
        <w:rPr>
          <w:lang w:val="en"/>
        </w:rPr>
        <w:t>CAMx</w:t>
      </w:r>
      <w:proofErr w:type="spellEnd"/>
      <w:r w:rsidR="009C547D" w:rsidRPr="009C547D">
        <w:rPr>
          <w:lang w:val="en"/>
        </w:rPr>
        <w:t xml:space="preserve">. </w:t>
      </w:r>
    </w:p>
    <w:p w14:paraId="17F306E3" w14:textId="1F7993CC" w:rsidR="009C547D" w:rsidRPr="009C547D" w:rsidRDefault="009C547D" w:rsidP="00087E00">
      <w:pPr>
        <w:numPr>
          <w:ilvl w:val="0"/>
          <w:numId w:val="6"/>
        </w:numPr>
        <w:spacing w:after="0"/>
        <w:rPr>
          <w:lang w:val="en"/>
        </w:rPr>
      </w:pPr>
      <w:r w:rsidRPr="009C547D">
        <w:rPr>
          <w:lang w:val="en"/>
        </w:rPr>
        <w:t xml:space="preserve">Reduced the dry deposition rate of </w:t>
      </w:r>
      <w:r w:rsidR="007F2C7E">
        <w:rPr>
          <w:lang w:val="en"/>
        </w:rPr>
        <w:t>NH</w:t>
      </w:r>
      <w:r w:rsidR="007F2C7E">
        <w:rPr>
          <w:vertAlign w:val="subscript"/>
          <w:lang w:val="en"/>
        </w:rPr>
        <w:t>3</w:t>
      </w:r>
      <w:r w:rsidRPr="009C547D">
        <w:rPr>
          <w:lang w:val="en"/>
        </w:rPr>
        <w:t xml:space="preserve"> by setting </w:t>
      </w:r>
      <w:r w:rsidR="007F2C7E">
        <w:rPr>
          <w:lang w:val="en"/>
        </w:rPr>
        <w:t>NH</w:t>
      </w:r>
      <w:r w:rsidR="007F2C7E">
        <w:rPr>
          <w:vertAlign w:val="subscript"/>
          <w:lang w:val="en"/>
        </w:rPr>
        <w:t>3</w:t>
      </w:r>
      <w:r w:rsidRPr="009C547D">
        <w:rPr>
          <w:lang w:val="en"/>
        </w:rPr>
        <w:t xml:space="preserve"> </w:t>
      </w:r>
      <w:proofErr w:type="spellStart"/>
      <w:r w:rsidRPr="009C547D">
        <w:rPr>
          <w:lang w:val="en"/>
        </w:rPr>
        <w:t>Rscale</w:t>
      </w:r>
      <w:proofErr w:type="spellEnd"/>
      <w:r w:rsidRPr="009C547D">
        <w:rPr>
          <w:lang w:val="en"/>
        </w:rPr>
        <w:t xml:space="preserve"> to 1. </w:t>
      </w:r>
      <w:proofErr w:type="spellStart"/>
      <w:r w:rsidRPr="009C547D">
        <w:rPr>
          <w:lang w:val="en"/>
        </w:rPr>
        <w:t>Rscale</w:t>
      </w:r>
      <w:proofErr w:type="spellEnd"/>
      <w:r w:rsidRPr="009C547D">
        <w:rPr>
          <w:lang w:val="en"/>
        </w:rPr>
        <w:t xml:space="preserve"> is a parameter in </w:t>
      </w:r>
      <w:proofErr w:type="spellStart"/>
      <w:r w:rsidRPr="009C547D">
        <w:rPr>
          <w:lang w:val="en"/>
        </w:rPr>
        <w:t>CAMx</w:t>
      </w:r>
      <w:proofErr w:type="spellEnd"/>
      <w:r w:rsidRPr="009C547D">
        <w:rPr>
          <w:lang w:val="en"/>
        </w:rPr>
        <w:t xml:space="preserve"> that reflects surface resistance.</w:t>
      </w:r>
    </w:p>
    <w:p w14:paraId="63AEA5CE" w14:textId="77777777" w:rsidR="005E1277" w:rsidRPr="00102EF5" w:rsidRDefault="009C547D" w:rsidP="00087E00">
      <w:pPr>
        <w:numPr>
          <w:ilvl w:val="0"/>
          <w:numId w:val="6"/>
        </w:numPr>
        <w:spacing w:after="0"/>
        <w:rPr>
          <w:lang w:val="en"/>
        </w:rPr>
      </w:pPr>
      <w:r w:rsidRPr="00102EF5">
        <w:rPr>
          <w:lang w:val="en"/>
        </w:rPr>
        <w:t>Applied a 93% reduction to paved road dust emissions.</w:t>
      </w:r>
    </w:p>
    <w:p w14:paraId="615BE890" w14:textId="0B44A65B" w:rsidR="009C547D" w:rsidRPr="00102EF5" w:rsidRDefault="009C547D" w:rsidP="005E1277">
      <w:pPr>
        <w:spacing w:after="0"/>
        <w:rPr>
          <w:lang w:val="en"/>
        </w:rPr>
      </w:pPr>
      <w:r w:rsidRPr="00102EF5">
        <w:rPr>
          <w:lang w:val="en"/>
        </w:rPr>
        <w:t xml:space="preserve"> </w:t>
      </w:r>
    </w:p>
    <w:p w14:paraId="1DF5BBB3" w14:textId="77777777" w:rsidR="009C547D" w:rsidRPr="009C547D" w:rsidRDefault="009C547D" w:rsidP="009C547D">
      <w:r w:rsidRPr="009C547D">
        <w:rPr>
          <w:lang w:val="en"/>
        </w:rPr>
        <w:t xml:space="preserve">Depending on the episode, different adjustments were applied. All adjustments were applied to the January 2011 episode while select adjustments were applied to the other two episodes. </w:t>
      </w:r>
    </w:p>
    <w:p w14:paraId="772E7E44" w14:textId="77777777" w:rsidR="009C547D" w:rsidRPr="009C547D" w:rsidRDefault="009C547D" w:rsidP="009C547D">
      <w:pPr>
        <w:rPr>
          <w:lang w:val="en"/>
        </w:rPr>
      </w:pPr>
      <w:proofErr w:type="spellStart"/>
      <w:r w:rsidRPr="009C547D">
        <w:rPr>
          <w:lang w:val="en"/>
        </w:rPr>
        <w:t>Kvpatch</w:t>
      </w:r>
      <w:proofErr w:type="spellEnd"/>
      <w:r w:rsidRPr="009C547D">
        <w:rPr>
          <w:lang w:val="en"/>
        </w:rPr>
        <w:t xml:space="preserve"> improved overall model performance by enhancing vertical mixing over urban areas. Snow chemistry modifications, which included reducing ozone deposition velocity and increasing surface albedo over urban areas, helped improve the model performance by better representing secondary ammonium nitrate formation during winter-time inversion episodes in Utah. </w:t>
      </w:r>
    </w:p>
    <w:p w14:paraId="4C7C7171" w14:textId="4ABA3597" w:rsidR="009C547D" w:rsidRPr="009C547D" w:rsidRDefault="009C547D" w:rsidP="009C547D">
      <w:pPr>
        <w:rPr>
          <w:lang w:val="en"/>
        </w:rPr>
      </w:pPr>
      <w:r w:rsidRPr="009C547D">
        <w:rPr>
          <w:lang w:val="en"/>
        </w:rPr>
        <w:t xml:space="preserve">Cloud adjustments were only applied to the January 2011 episode, which was characterized by cloud cover on January 6-8 over the Salt Lake and Utah valleys. This cloud cover led to a high bias in sulfate due to the effect of </w:t>
      </w:r>
      <w:r w:rsidR="007F2C7E">
        <w:rPr>
          <w:lang w:val="en"/>
        </w:rPr>
        <w:t>NH</w:t>
      </w:r>
      <w:r w:rsidR="007F2C7E">
        <w:rPr>
          <w:vertAlign w:val="subscript"/>
          <w:lang w:val="en"/>
        </w:rPr>
        <w:t>3</w:t>
      </w:r>
      <w:r w:rsidRPr="009C547D">
        <w:rPr>
          <w:lang w:val="en"/>
        </w:rPr>
        <w:t xml:space="preserve"> on the gas-to-particle partitioning of sulfate in clouds. Application of the cloud adjustment scheme helped reduce this bias. </w:t>
      </w:r>
    </w:p>
    <w:p w14:paraId="5D18D6B6" w14:textId="77777777" w:rsidR="009C547D" w:rsidRPr="00102EF5" w:rsidRDefault="009C547D" w:rsidP="009C547D">
      <w:pPr>
        <w:rPr>
          <w:lang w:val="en"/>
        </w:rPr>
      </w:pPr>
      <w:proofErr w:type="spellStart"/>
      <w:r w:rsidRPr="009C547D">
        <w:rPr>
          <w:lang w:val="en"/>
        </w:rPr>
        <w:t>Rscale</w:t>
      </w:r>
      <w:proofErr w:type="spellEnd"/>
      <w:r w:rsidRPr="009C547D">
        <w:rPr>
          <w:lang w:val="en"/>
        </w:rPr>
        <w:t xml:space="preserve"> modification and burn ban adjustments were also only applied to the January 2011 episode. The burn ban adjustments reflect the compliance </w:t>
      </w:r>
      <w:r w:rsidRPr="00102EF5">
        <w:rPr>
          <w:lang w:val="en"/>
        </w:rPr>
        <w:t xml:space="preserve">rate with the state’s two-stage policy ban on wood-burning. </w:t>
      </w:r>
    </w:p>
    <w:p w14:paraId="1CF1FC14" w14:textId="31F82726" w:rsidR="009C547D" w:rsidRPr="00102EF5" w:rsidRDefault="009C547D" w:rsidP="009C547D">
      <w:pPr>
        <w:rPr>
          <w:lang w:val="en"/>
        </w:rPr>
      </w:pPr>
      <w:r w:rsidRPr="00102EF5">
        <w:rPr>
          <w:lang w:val="en"/>
        </w:rPr>
        <w:t>A 93% reduction in paved road dust emissions was only applied to the January 2011 emissions.  This adjustment helped improve the model performance for crustal material.</w:t>
      </w:r>
    </w:p>
    <w:p w14:paraId="603F21D3" w14:textId="64B57909" w:rsidR="00352C95" w:rsidRPr="00352C95" w:rsidRDefault="00352C95" w:rsidP="00352C95">
      <w:pPr>
        <w:pStyle w:val="Heading5"/>
      </w:pPr>
      <w:bookmarkStart w:id="56" w:name="_Hlk15972111"/>
      <w:r>
        <w:t>Episodic Model Performance</w:t>
      </w:r>
    </w:p>
    <w:p w14:paraId="3E6DEB3F" w14:textId="77777777" w:rsidR="00352C95" w:rsidRDefault="00352C95" w:rsidP="00352C95">
      <w:pPr>
        <w:rPr>
          <w:lang w:val="en"/>
        </w:rPr>
      </w:pPr>
    </w:p>
    <w:p w14:paraId="2E898E43" w14:textId="675EFC4D" w:rsidR="000B3C4B" w:rsidRPr="001471D3" w:rsidRDefault="000B3C4B" w:rsidP="000B3C4B">
      <w:pPr>
        <w:rPr>
          <w:lang w:val="en"/>
        </w:rPr>
      </w:pPr>
      <w:bookmarkStart w:id="57" w:name="_w1ucmwdq4my" w:colFirst="0" w:colLast="0"/>
      <w:bookmarkEnd w:id="57"/>
      <w:r w:rsidRPr="001471D3">
        <w:rPr>
          <w:lang w:val="en"/>
        </w:rPr>
        <w:t xml:space="preserve">Shown below for each of three episodes are the </w:t>
      </w:r>
      <w:proofErr w:type="spellStart"/>
      <w:r w:rsidRPr="001471D3">
        <w:rPr>
          <w:lang w:val="en"/>
        </w:rPr>
        <w:t>CAMx</w:t>
      </w:r>
      <w:proofErr w:type="spellEnd"/>
      <w:r w:rsidRPr="001471D3">
        <w:rPr>
          <w:lang w:val="en"/>
        </w:rPr>
        <w:t xml:space="preserve"> performance results for total 24-hour PM</w:t>
      </w:r>
      <w:r w:rsidRPr="001471D3">
        <w:rPr>
          <w:vertAlign w:val="subscript"/>
          <w:lang w:val="en"/>
        </w:rPr>
        <w:t>2.5</w:t>
      </w:r>
      <w:r w:rsidRPr="001471D3">
        <w:rPr>
          <w:lang w:val="en"/>
        </w:rPr>
        <w:t xml:space="preserve"> mass and PM</w:t>
      </w:r>
      <w:r w:rsidR="003F48D9">
        <w:rPr>
          <w:vertAlign w:val="subscript"/>
          <w:lang w:val="en"/>
        </w:rPr>
        <w:t>2.5</w:t>
      </w:r>
      <w:r w:rsidRPr="001471D3">
        <w:rPr>
          <w:lang w:val="en"/>
        </w:rPr>
        <w:t xml:space="preserve"> chemical species, including nitrate (NO</w:t>
      </w:r>
      <w:r w:rsidRPr="001471D3">
        <w:rPr>
          <w:vertAlign w:val="subscript"/>
          <w:lang w:val="en"/>
        </w:rPr>
        <w:t>3</w:t>
      </w:r>
      <w:r w:rsidRPr="001471D3">
        <w:rPr>
          <w:lang w:val="en"/>
        </w:rPr>
        <w:t>), sulfate (SO</w:t>
      </w:r>
      <w:r w:rsidRPr="001471D3">
        <w:rPr>
          <w:vertAlign w:val="subscript"/>
          <w:lang w:val="en"/>
        </w:rPr>
        <w:t>4</w:t>
      </w:r>
      <w:r w:rsidRPr="001471D3">
        <w:rPr>
          <w:lang w:val="en"/>
        </w:rPr>
        <w:t>), ammonium (NH</w:t>
      </w:r>
      <w:r w:rsidRPr="001471D3">
        <w:rPr>
          <w:vertAlign w:val="subscript"/>
          <w:lang w:val="en"/>
        </w:rPr>
        <w:t>4</w:t>
      </w:r>
      <w:r w:rsidRPr="001471D3">
        <w:rPr>
          <w:lang w:val="en"/>
        </w:rPr>
        <w:t xml:space="preserve">), organic carbon (OC), elemental carbon (EC), chloride (Cl), sodium (Na), crustal material (CM) and other species (other mass). </w:t>
      </w:r>
    </w:p>
    <w:p w14:paraId="09A1F2E6" w14:textId="77777777" w:rsidR="00352C95" w:rsidRPr="00B337F6" w:rsidRDefault="00352C95" w:rsidP="00352C95">
      <w:pPr>
        <w:rPr>
          <w:i/>
          <w:lang w:val="en"/>
        </w:rPr>
      </w:pPr>
      <w:r w:rsidRPr="00B337F6">
        <w:rPr>
          <w:i/>
          <w:lang w:val="en"/>
        </w:rPr>
        <w:t>January 1-10, 2011</w:t>
      </w:r>
    </w:p>
    <w:p w14:paraId="24F0176E" w14:textId="5FC42438" w:rsidR="00352C95" w:rsidRPr="00352C95" w:rsidRDefault="00352C95" w:rsidP="00352C95">
      <w:pPr>
        <w:rPr>
          <w:rFonts w:cs="Times New Roman"/>
          <w:color w:val="00B050"/>
        </w:rPr>
      </w:pPr>
      <w:bookmarkStart w:id="58" w:name="_Hlk15972240"/>
      <w:bookmarkEnd w:id="56"/>
      <w:r w:rsidRPr="00125300">
        <w:rPr>
          <w:rFonts w:cs="Times New Roman"/>
          <w:lang w:val="en"/>
        </w:rPr>
        <w:t>A comparison of</w:t>
      </w:r>
      <w:r w:rsidRPr="00125300">
        <w:rPr>
          <w:rFonts w:cs="Times New Roman"/>
          <w:b/>
          <w:lang w:val="en"/>
        </w:rPr>
        <w:t xml:space="preserve"> </w:t>
      </w:r>
      <w:r w:rsidRPr="00125300">
        <w:rPr>
          <w:rFonts w:cs="Times New Roman"/>
          <w:lang w:val="en"/>
        </w:rPr>
        <w:t>24-hr modeled and observed PM</w:t>
      </w:r>
      <w:r w:rsidRPr="00125300">
        <w:rPr>
          <w:rFonts w:cs="Times New Roman"/>
          <w:vertAlign w:val="subscript"/>
          <w:lang w:val="en"/>
        </w:rPr>
        <w:t>2.5</w:t>
      </w:r>
      <w:r w:rsidRPr="00125300">
        <w:rPr>
          <w:rFonts w:cs="Times New Roman"/>
          <w:lang w:val="en"/>
        </w:rPr>
        <w:t xml:space="preserve"> during January 1-10, 2011 at the </w:t>
      </w:r>
      <w:r w:rsidRPr="00247DAE">
        <w:rPr>
          <w:rFonts w:cs="Times New Roman"/>
          <w:color w:val="00B050"/>
          <w:lang w:val="en"/>
        </w:rPr>
        <w:t xml:space="preserve">Lindon </w:t>
      </w:r>
      <w:r w:rsidRPr="00125300">
        <w:rPr>
          <w:rFonts w:cs="Times New Roman"/>
          <w:lang w:val="en"/>
        </w:rPr>
        <w:t xml:space="preserve">monitoring station in the </w:t>
      </w:r>
      <w:r w:rsidRPr="00247DAE">
        <w:rPr>
          <w:rFonts w:cs="Times New Roman"/>
          <w:color w:val="00B050"/>
          <w:lang w:val="en"/>
        </w:rPr>
        <w:t>Provo</w:t>
      </w:r>
      <w:r w:rsidRPr="00125300">
        <w:rPr>
          <w:rFonts w:cs="Times New Roman"/>
          <w:lang w:val="en"/>
        </w:rPr>
        <w:t xml:space="preserve"> NAA showed that</w:t>
      </w:r>
      <w:r w:rsidR="004D65E5">
        <w:rPr>
          <w:rFonts w:cs="Times New Roman"/>
          <w:lang w:val="en"/>
        </w:rPr>
        <w:t xml:space="preserve"> overall</w:t>
      </w:r>
      <w:r w:rsidRPr="00125300">
        <w:rPr>
          <w:rFonts w:cs="Times New Roman"/>
          <w:lang w:val="en"/>
        </w:rPr>
        <w:t xml:space="preserve"> </w:t>
      </w:r>
      <w:r w:rsidRPr="00125300">
        <w:rPr>
          <w:rFonts w:cs="Times New Roman"/>
        </w:rPr>
        <w:t xml:space="preserve">the model </w:t>
      </w:r>
      <w:r w:rsidR="004D65E5">
        <w:rPr>
          <w:rFonts w:cs="Times New Roman"/>
        </w:rPr>
        <w:t>c</w:t>
      </w:r>
      <w:r w:rsidRPr="00125300">
        <w:rPr>
          <w:rFonts w:cs="Times New Roman"/>
        </w:rPr>
        <w:t xml:space="preserve">aptures the temporal variation in </w:t>
      </w:r>
      <w:r w:rsidR="00FC6345" w:rsidRPr="00125300">
        <w:rPr>
          <w:rFonts w:cs="Times New Roman"/>
          <w:lang w:val="en"/>
        </w:rPr>
        <w:t>PM</w:t>
      </w:r>
      <w:r w:rsidR="00FC6345" w:rsidRPr="00125300">
        <w:rPr>
          <w:rFonts w:cs="Times New Roman"/>
          <w:vertAlign w:val="subscript"/>
          <w:lang w:val="en"/>
        </w:rPr>
        <w:t>2.5</w:t>
      </w:r>
      <w:r w:rsidRPr="00125300">
        <w:rPr>
          <w:rFonts w:cs="Times New Roman"/>
        </w:rPr>
        <w:t xml:space="preserve"> </w:t>
      </w:r>
      <w:r w:rsidR="004D65E5">
        <w:rPr>
          <w:rFonts w:cs="Times New Roman"/>
        </w:rPr>
        <w:t xml:space="preserve">well </w:t>
      </w:r>
      <w:r w:rsidRPr="00125300">
        <w:rPr>
          <w:rFonts w:cs="Times New Roman"/>
        </w:rPr>
        <w:t>(</w:t>
      </w:r>
      <w:r w:rsidRPr="003A778A">
        <w:rPr>
          <w:rFonts w:cs="Times New Roman"/>
          <w:color w:val="00B050"/>
        </w:rPr>
        <w:t xml:space="preserve">Figure </w:t>
      </w:r>
      <w:r w:rsidR="00FC6345" w:rsidRPr="003A778A">
        <w:rPr>
          <w:rFonts w:cs="Times New Roman"/>
          <w:color w:val="00B050"/>
        </w:rPr>
        <w:t>IX.A.27.5</w:t>
      </w:r>
      <w:r w:rsidRPr="00125300">
        <w:rPr>
          <w:rFonts w:cs="Times New Roman"/>
        </w:rPr>
        <w:t xml:space="preserve">). The gradual increase in </w:t>
      </w:r>
      <w:r w:rsidRPr="00125300">
        <w:rPr>
          <w:rFonts w:cs="Times New Roman"/>
          <w:lang w:val="en"/>
        </w:rPr>
        <w:t>PM</w:t>
      </w:r>
      <w:r w:rsidRPr="00125300">
        <w:rPr>
          <w:rFonts w:cs="Times New Roman"/>
          <w:vertAlign w:val="subscript"/>
          <w:lang w:val="en"/>
        </w:rPr>
        <w:t>2.5</w:t>
      </w:r>
      <w:r w:rsidRPr="00125300">
        <w:rPr>
          <w:rFonts w:cs="Times New Roman"/>
        </w:rPr>
        <w:t xml:space="preserve"> concentration and its transition back to low levels are generally well reproduced by the model.</w:t>
      </w:r>
      <w:r w:rsidRPr="00352C95">
        <w:rPr>
          <w:rFonts w:cs="Times New Roman"/>
          <w:color w:val="00B050"/>
        </w:rPr>
        <w:t xml:space="preserve"> </w:t>
      </w:r>
      <w:bookmarkEnd w:id="58"/>
      <w:r w:rsidRPr="00352C95">
        <w:rPr>
          <w:rFonts w:cs="Times New Roman"/>
          <w:color w:val="00B050"/>
        </w:rPr>
        <w:t xml:space="preserve">Moreover, with the exception of January 3-5, the bias between measured and modeled </w:t>
      </w:r>
      <w:r w:rsidRPr="00352C95">
        <w:rPr>
          <w:rFonts w:cs="Times New Roman"/>
          <w:color w:val="00B050"/>
          <w:lang w:val="en"/>
        </w:rPr>
        <w:t>PM</w:t>
      </w:r>
      <w:r w:rsidRPr="00352C95">
        <w:rPr>
          <w:rFonts w:cs="Times New Roman"/>
          <w:color w:val="00B050"/>
          <w:vertAlign w:val="subscript"/>
          <w:lang w:val="en"/>
        </w:rPr>
        <w:t>2.5</w:t>
      </w:r>
      <w:r w:rsidRPr="00352C95">
        <w:rPr>
          <w:rFonts w:cs="Times New Roman"/>
          <w:color w:val="00B050"/>
        </w:rPr>
        <w:t xml:space="preserve"> is overall relatively small, particularly on </w:t>
      </w:r>
      <w:r w:rsidRPr="00352C95">
        <w:rPr>
          <w:rFonts w:cs="Times New Roman"/>
          <w:color w:val="00B050"/>
          <w:lang w:val="en"/>
        </w:rPr>
        <w:t>PM</w:t>
      </w:r>
      <w:r w:rsidRPr="00352C95">
        <w:rPr>
          <w:rFonts w:cs="Times New Roman"/>
          <w:color w:val="00B050"/>
          <w:vertAlign w:val="subscript"/>
          <w:lang w:val="en"/>
        </w:rPr>
        <w:t>2.5</w:t>
      </w:r>
      <w:r w:rsidRPr="00352C95">
        <w:rPr>
          <w:rFonts w:cs="Times New Roman"/>
          <w:color w:val="00B050"/>
        </w:rPr>
        <w:t xml:space="preserve"> exceedance days. The large bias on January 3-5 can be mainly related to the meteorological model performance on these days where jet wind speeds were overestimated in the WRF model</w:t>
      </w:r>
      <w:r w:rsidRPr="00352C95">
        <w:rPr>
          <w:rStyle w:val="FootnoteReference"/>
          <w:rFonts w:cs="Times New Roman"/>
          <w:color w:val="00B050"/>
        </w:rPr>
        <w:footnoteReference w:id="19"/>
      </w:r>
      <w:r w:rsidRPr="00352C95">
        <w:rPr>
          <w:rFonts w:cs="Times New Roman"/>
          <w:color w:val="00B050"/>
        </w:rPr>
        <w:t xml:space="preserve">. </w:t>
      </w:r>
      <w:bookmarkStart w:id="59" w:name="_Hlk15972580"/>
    </w:p>
    <w:p w14:paraId="57559194" w14:textId="77777777" w:rsidR="00294870" w:rsidRDefault="003D4FD9" w:rsidP="00294870">
      <w:pPr>
        <w:keepNext/>
      </w:pPr>
      <w:r w:rsidRPr="003D4FD9">
        <w:rPr>
          <w:noProof/>
          <w:color w:val="FF0000"/>
        </w:rPr>
        <w:drawing>
          <wp:inline distT="0" distB="0" distL="0" distR="0" wp14:anchorId="24BFD016" wp14:editId="6D9E92B0">
            <wp:extent cx="4297680" cy="2286000"/>
            <wp:effectExtent l="0" t="0" r="762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2D71BE8" w14:textId="64BB4436" w:rsidR="00AF5D12" w:rsidRDefault="00294870" w:rsidP="00294870">
      <w:pPr>
        <w:pStyle w:val="Caption"/>
      </w:pPr>
      <w:bookmarkStart w:id="60" w:name="_Toc17201291"/>
      <w:r>
        <w:t xml:space="preserve">Figure IX.A.27. </w:t>
      </w:r>
      <w:fldSimple w:instr=" SEQ Figure_IX.A.27. \* ARABIC ">
        <w:r w:rsidR="00C012A9">
          <w:rPr>
            <w:noProof/>
          </w:rPr>
          <w:t>5</w:t>
        </w:r>
      </w:fldSimple>
      <w:r w:rsidRPr="00294870">
        <w:t xml:space="preserve"> </w:t>
      </w:r>
      <w:r w:rsidRPr="00AF5D12">
        <w:t>Measured and Modeled 24-hr PM</w:t>
      </w:r>
      <w:r w:rsidR="006C7AA8">
        <w:rPr>
          <w:vertAlign w:val="subscript"/>
        </w:rPr>
        <w:t>2.5</w:t>
      </w:r>
      <w:r w:rsidRPr="00AF5D12">
        <w:t xml:space="preserve"> Concentrations During January 1-10 2011 at Lindon Monitoring Station in Provo NAA</w:t>
      </w:r>
      <w:bookmarkEnd w:id="60"/>
    </w:p>
    <w:p w14:paraId="0717E3C2" w14:textId="77777777" w:rsidR="00AF5D12" w:rsidRPr="00AF5D12" w:rsidRDefault="00AF5D12" w:rsidP="00AF5D12">
      <w:pPr>
        <w:rPr>
          <w:lang w:val="en"/>
        </w:rPr>
      </w:pPr>
    </w:p>
    <w:p w14:paraId="0FEEA30E" w14:textId="1B0995DE" w:rsidR="003D4FD9" w:rsidRPr="00557330" w:rsidRDefault="003D4FD9" w:rsidP="003D4FD9">
      <w:pPr>
        <w:rPr>
          <w:color w:val="00B050"/>
        </w:rPr>
      </w:pPr>
      <w:r w:rsidRPr="00557330">
        <w:rPr>
          <w:color w:val="00B050"/>
        </w:rPr>
        <w:t xml:space="preserve">The model performance for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chemical species was also good for this episode as indicated by a comparison of measured and modeled </w:t>
      </w:r>
      <w:r w:rsidR="006A3DF0" w:rsidRPr="00352C95">
        <w:rPr>
          <w:rFonts w:cs="Times New Roman"/>
          <w:color w:val="00B050"/>
          <w:lang w:val="en"/>
        </w:rPr>
        <w:t>PM</w:t>
      </w:r>
      <w:r w:rsidR="006A3DF0" w:rsidRPr="00352C95">
        <w:rPr>
          <w:rFonts w:cs="Times New Roman"/>
          <w:color w:val="00B050"/>
          <w:vertAlign w:val="subscript"/>
          <w:lang w:val="en"/>
        </w:rPr>
        <w:t>2.5</w:t>
      </w:r>
      <w:r w:rsidRPr="00557330">
        <w:rPr>
          <w:color w:val="00B050"/>
        </w:rPr>
        <w:t xml:space="preserve"> chemical composition at Lindon monitoring station on a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exceedance day (Figure </w:t>
      </w:r>
      <w:r w:rsidR="00557330" w:rsidRPr="00557330">
        <w:rPr>
          <w:color w:val="00B050"/>
        </w:rPr>
        <w:t>IX.A.27.</w:t>
      </w:r>
      <w:r w:rsidR="003A778A">
        <w:rPr>
          <w:color w:val="00B050"/>
        </w:rPr>
        <w:t>6</w:t>
      </w:r>
      <w:r w:rsidRPr="00557330">
        <w:rPr>
          <w:color w:val="00B050"/>
        </w:rPr>
        <w:t xml:space="preserve">). Given that measurements of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chemical species were not available for a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exceedance day during the January 1-10</w:t>
      </w:r>
      <w:r w:rsidR="00FC6345">
        <w:rPr>
          <w:color w:val="00B050"/>
        </w:rPr>
        <w:t>,</w:t>
      </w:r>
      <w:r w:rsidRPr="00557330">
        <w:rPr>
          <w:color w:val="00B050"/>
        </w:rPr>
        <w:t xml:space="preserve"> 2011</w:t>
      </w:r>
      <w:r w:rsidR="00EC24BC">
        <w:rPr>
          <w:color w:val="00B050"/>
        </w:rPr>
        <w:t>,</w:t>
      </w:r>
      <w:r w:rsidRPr="00557330">
        <w:rPr>
          <w:color w:val="00B050"/>
        </w:rPr>
        <w:t xml:space="preserve"> modeling episode, this analysis is based on a comparison of the fraction of individual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chemical species in total </w:t>
      </w:r>
      <w:r w:rsidR="00557330" w:rsidRPr="00557330">
        <w:rPr>
          <w:rFonts w:cs="Times New Roman"/>
          <w:color w:val="00B050"/>
          <w:lang w:val="en"/>
        </w:rPr>
        <w:t>PM</w:t>
      </w:r>
      <w:r w:rsidR="00557330" w:rsidRPr="00557330">
        <w:rPr>
          <w:rFonts w:cs="Times New Roman"/>
          <w:color w:val="00B050"/>
          <w:vertAlign w:val="subscript"/>
          <w:lang w:val="en"/>
        </w:rPr>
        <w:t>2.5</w:t>
      </w:r>
      <w:r w:rsidRPr="00557330">
        <w:rPr>
          <w:color w:val="00B050"/>
        </w:rPr>
        <w:t xml:space="preserve"> mass between 2011 model outputs and measurements from 2013. Measurements correspond to filter speciation data collected at Lindon during a typical winter-time inversion event in 2013. </w:t>
      </w:r>
    </w:p>
    <w:p w14:paraId="1A4C775F" w14:textId="66151D2E" w:rsidR="00294870" w:rsidRDefault="007D0631" w:rsidP="00294870">
      <w:pPr>
        <w:keepNext/>
      </w:pPr>
      <w:r>
        <w:rPr>
          <w:noProof/>
          <w:color w:val="FF0000"/>
        </w:rPr>
        <mc:AlternateContent>
          <mc:Choice Requires="wps">
            <w:drawing>
              <wp:anchor distT="0" distB="0" distL="114300" distR="114300" simplePos="0" relativeHeight="251661312" behindDoc="0" locked="0" layoutInCell="1" allowOverlap="1" wp14:anchorId="00F612BF" wp14:editId="3639E50E">
                <wp:simplePos x="0" y="0"/>
                <wp:positionH relativeFrom="column">
                  <wp:posOffset>-1905</wp:posOffset>
                </wp:positionH>
                <wp:positionV relativeFrom="paragraph">
                  <wp:posOffset>5080</wp:posOffset>
                </wp:positionV>
                <wp:extent cx="427990" cy="394335"/>
                <wp:effectExtent l="0" t="0" r="0" b="1206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7990" cy="394335"/>
                        </a:xfrm>
                        <a:prstGeom prst="rect">
                          <a:avLst/>
                        </a:prstGeom>
                        <a:noFill/>
                        <a:ln w="6350">
                          <a:noFill/>
                        </a:ln>
                      </wps:spPr>
                      <wps:txbx>
                        <w:txbxContent>
                          <w:p w14:paraId="69929160" w14:textId="77777777" w:rsidR="00082133" w:rsidRPr="006E5E42" w:rsidRDefault="00082133" w:rsidP="003D4FD9">
                            <w:pPr>
                              <w:rPr>
                                <w:b/>
                              </w:rPr>
                            </w:pPr>
                            <w:r w:rsidRPr="006E5E42">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F612BF" id="_x0000_t202" coordsize="21600,21600" o:spt="202" path="m,l,21600r21600,l21600,xe">
                <v:stroke joinstyle="miter"/>
                <v:path gradientshapeok="t" o:connecttype="rect"/>
              </v:shapetype>
              <v:shape id="Text Box 2" o:spid="_x0000_s1026" type="#_x0000_t202" style="position:absolute;margin-left:-.15pt;margin-top:.4pt;width:33.7pt;height:31.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" filled="f" stroked="f" strokeweight=".5pt">
                <v:textbox>
                  <w:txbxContent>
                    <w:p w14:paraId="69929160" w14:textId="77777777" w:rsidR="00082133" w:rsidRPr="006E5E42" w:rsidRDefault="00082133" w:rsidP="003D4FD9">
                      <w:pPr>
                        <w:rPr>
                          <w:b/>
                        </w:rPr>
                      </w:pPr>
                      <w:r w:rsidRPr="006E5E42">
                        <w:rPr>
                          <w:b/>
                        </w:rPr>
                        <w:t>a)</w:t>
                      </w:r>
                    </w:p>
                  </w:txbxContent>
                </v:textbox>
              </v:shape>
            </w:pict>
          </mc:Fallback>
        </mc:AlternateContent>
      </w:r>
      <w:r w:rsidR="003D4FD9" w:rsidRPr="003D4FD9">
        <w:rPr>
          <w:noProof/>
          <w:color w:val="FF0000"/>
        </w:rPr>
        <w:drawing>
          <wp:inline distT="0" distB="0" distL="0" distR="0" wp14:anchorId="4818219C" wp14:editId="4CF2A8F1">
            <wp:extent cx="2834640" cy="3108960"/>
            <wp:effectExtent l="0" t="0" r="0" b="0"/>
            <wp:docPr id="3" name="Chart 3">
              <a:extLst xmlns:a="http://schemas.openxmlformats.org/drawingml/2006/main">
                <a:ext uri="{FF2B5EF4-FFF2-40B4-BE49-F238E27FC236}">
                  <a16:creationId xmlns:a16="http://schemas.microsoft.com/office/drawing/2014/main" id="{E783B936-8655-4610-A535-339959B05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22227E" w:rsidRPr="003D4FD9">
        <w:rPr>
          <w:noProof/>
          <w:color w:val="FF0000"/>
        </w:rPr>
        <w:drawing>
          <wp:inline distT="0" distB="0" distL="0" distR="0" wp14:anchorId="5EF41715" wp14:editId="55267524">
            <wp:extent cx="2834640" cy="3243184"/>
            <wp:effectExtent l="0" t="0" r="0" b="0"/>
            <wp:docPr id="20" name="Chart 20">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64E7E19" w14:textId="65A97ED9" w:rsidR="00294870" w:rsidRDefault="00294870" w:rsidP="00294870">
      <w:pPr>
        <w:pStyle w:val="Caption"/>
      </w:pPr>
      <w:bookmarkStart w:id="61" w:name="_Toc17201292"/>
      <w:r>
        <w:t xml:space="preserve">Figure IX.A.27. </w:t>
      </w:r>
      <w:fldSimple w:instr=" SEQ Figure_IX.A.27. \* ARABIC ">
        <w:r w:rsidR="00C012A9">
          <w:rPr>
            <w:noProof/>
          </w:rPr>
          <w:t>6</w:t>
        </w:r>
      </w:fldSimple>
      <w:r w:rsidR="00B1647C">
        <w:t xml:space="preserve"> a</w:t>
      </w:r>
      <w:r w:rsidRPr="0022227E">
        <w:t>) Measured and b) Modeled Species Contribution (in %) to PM</w:t>
      </w:r>
      <w:r w:rsidR="006C7AA8">
        <w:rPr>
          <w:vertAlign w:val="subscript"/>
        </w:rPr>
        <w:t>2.5</w:t>
      </w:r>
      <w:r w:rsidRPr="0022227E">
        <w:t xml:space="preserve"> at Lindon Monitoring Station in the Provo NAA on a Typical 24-hr PM</w:t>
      </w:r>
      <w:r w:rsidR="006C7AA8">
        <w:rPr>
          <w:vertAlign w:val="subscript"/>
        </w:rPr>
        <w:t>2.5</w:t>
      </w:r>
      <w:r w:rsidRPr="0022227E">
        <w:t xml:space="preserve"> Exceedance Day</w:t>
      </w:r>
      <w:bookmarkEnd w:id="61"/>
    </w:p>
    <w:bookmarkEnd w:id="59"/>
    <w:p w14:paraId="446DC38B" w14:textId="77777777" w:rsidR="00294870" w:rsidRDefault="00294870" w:rsidP="003D4FD9">
      <w:pPr>
        <w:rPr>
          <w:color w:val="00B050"/>
        </w:rPr>
      </w:pPr>
    </w:p>
    <w:p w14:paraId="3C308733" w14:textId="59C73752" w:rsidR="003D4FD9" w:rsidRPr="00FC6345" w:rsidRDefault="003D4FD9" w:rsidP="003D4FD9">
      <w:pPr>
        <w:rPr>
          <w:color w:val="00B050"/>
        </w:rPr>
      </w:pPr>
      <w:r w:rsidRPr="00FC6345">
        <w:rPr>
          <w:color w:val="00B050"/>
        </w:rPr>
        <w:t xml:space="preserve">As can be seen, the chemical composition of modeled </w:t>
      </w:r>
      <w:r w:rsidR="00FC6345" w:rsidRPr="00FC6345">
        <w:rPr>
          <w:rFonts w:cs="Times New Roman"/>
          <w:color w:val="00B050"/>
          <w:lang w:val="en"/>
        </w:rPr>
        <w:t>PM</w:t>
      </w:r>
      <w:r w:rsidR="00FC6345" w:rsidRPr="00FC6345">
        <w:rPr>
          <w:rFonts w:cs="Times New Roman"/>
          <w:color w:val="00B050"/>
          <w:vertAlign w:val="subscript"/>
          <w:lang w:val="en"/>
        </w:rPr>
        <w:t>2.5</w:t>
      </w:r>
      <w:r w:rsidRPr="00FC6345">
        <w:rPr>
          <w:color w:val="00B050"/>
        </w:rPr>
        <w:t xml:space="preserve"> is similar to that of measured </w:t>
      </w:r>
      <w:r w:rsidR="00FC6345" w:rsidRPr="00FC6345">
        <w:rPr>
          <w:rFonts w:cs="Times New Roman"/>
          <w:color w:val="00B050"/>
          <w:lang w:val="en"/>
        </w:rPr>
        <w:t>PM</w:t>
      </w:r>
      <w:r w:rsidR="00FC6345" w:rsidRPr="00FC6345">
        <w:rPr>
          <w:rFonts w:cs="Times New Roman"/>
          <w:color w:val="00B050"/>
          <w:vertAlign w:val="subscript"/>
          <w:lang w:val="en"/>
        </w:rPr>
        <w:t>2.5</w:t>
      </w:r>
      <w:r w:rsidRPr="00FC6345">
        <w:rPr>
          <w:color w:val="00B050"/>
        </w:rPr>
        <w:t xml:space="preserve">, with modeled secondary species, </w:t>
      </w:r>
      <w:r w:rsidR="00531644">
        <w:rPr>
          <w:color w:val="00B050"/>
        </w:rPr>
        <w:t>NO</w:t>
      </w:r>
      <w:r w:rsidR="00531644">
        <w:rPr>
          <w:color w:val="00B050"/>
          <w:vertAlign w:val="subscript"/>
        </w:rPr>
        <w:t>3</w:t>
      </w:r>
      <w:r w:rsidRPr="00FC6345">
        <w:rPr>
          <w:color w:val="00B050"/>
        </w:rPr>
        <w:t xml:space="preserve">, </w:t>
      </w:r>
      <w:r w:rsidR="003A07D2">
        <w:rPr>
          <w:color w:val="00B050"/>
        </w:rPr>
        <w:t>NH</w:t>
      </w:r>
      <w:r w:rsidR="003A07D2">
        <w:rPr>
          <w:color w:val="00B050"/>
          <w:vertAlign w:val="subscript"/>
        </w:rPr>
        <w:t>3</w:t>
      </w:r>
      <w:r w:rsidR="00EC24BC">
        <w:rPr>
          <w:color w:val="00B050"/>
          <w:vertAlign w:val="subscript"/>
        </w:rPr>
        <w:t>,</w:t>
      </w:r>
      <w:r w:rsidRPr="00FC6345">
        <w:rPr>
          <w:color w:val="00B050"/>
        </w:rPr>
        <w:t xml:space="preserve"> and </w:t>
      </w:r>
      <w:r w:rsidR="003A07D2">
        <w:rPr>
          <w:color w:val="00B050"/>
        </w:rPr>
        <w:t>SO</w:t>
      </w:r>
      <w:r w:rsidR="003A07D2">
        <w:rPr>
          <w:color w:val="00B050"/>
          <w:vertAlign w:val="subscript"/>
        </w:rPr>
        <w:t>4</w:t>
      </w:r>
      <w:r w:rsidRPr="00FC6345">
        <w:rPr>
          <w:color w:val="00B050"/>
        </w:rPr>
        <w:t xml:space="preserve">, accounting for over 50% of </w:t>
      </w:r>
      <w:r w:rsidR="00FC6345" w:rsidRPr="00FC6345">
        <w:rPr>
          <w:rFonts w:cs="Times New Roman"/>
          <w:color w:val="00B050"/>
          <w:lang w:val="en"/>
        </w:rPr>
        <w:t>PM</w:t>
      </w:r>
      <w:r w:rsidR="00FC6345" w:rsidRPr="00FC6345">
        <w:rPr>
          <w:rFonts w:cs="Times New Roman"/>
          <w:color w:val="00B050"/>
          <w:vertAlign w:val="subscript"/>
          <w:lang w:val="en"/>
        </w:rPr>
        <w:t>2.5</w:t>
      </w:r>
      <w:r w:rsidRPr="00FC6345">
        <w:rPr>
          <w:color w:val="00B050"/>
        </w:rPr>
        <w:t xml:space="preserve"> mass, in agreement with measurements. The model also performed well for OC while it overestimated the percent contributions of EC and crustal material to </w:t>
      </w:r>
      <w:r w:rsidR="00FC6345" w:rsidRPr="00FC6345">
        <w:rPr>
          <w:rFonts w:cs="Times New Roman"/>
          <w:color w:val="00B050"/>
          <w:lang w:val="en"/>
        </w:rPr>
        <w:t>PM</w:t>
      </w:r>
      <w:r w:rsidR="00FC6345" w:rsidRPr="00FC6345">
        <w:rPr>
          <w:rFonts w:cs="Times New Roman"/>
          <w:color w:val="00B050"/>
          <w:vertAlign w:val="subscript"/>
          <w:lang w:val="en"/>
        </w:rPr>
        <w:t>2.5</w:t>
      </w:r>
      <w:r w:rsidRPr="00FC6345">
        <w:rPr>
          <w:color w:val="00B050"/>
        </w:rPr>
        <w:t>. This overprediction could be related to an overestimation in source emissions. Speciation measurements specific to this episode are needed for further confirmation.</w:t>
      </w:r>
    </w:p>
    <w:p w14:paraId="2CBF95A8" w14:textId="01B8EB42" w:rsidR="003D4FD9" w:rsidRPr="00FC6345" w:rsidRDefault="003D4FD9" w:rsidP="003D4FD9">
      <w:pPr>
        <w:rPr>
          <w:color w:val="00B050"/>
        </w:rPr>
      </w:pPr>
      <w:r w:rsidRPr="00FC6345">
        <w:rPr>
          <w:color w:val="00B050"/>
        </w:rPr>
        <w:t xml:space="preserve">Overall, the model simulated well the timing and strength of the capping inversion during this January episode. </w:t>
      </w:r>
      <w:r w:rsidR="00FC6345" w:rsidRPr="00FC6345">
        <w:rPr>
          <w:rFonts w:cs="Times New Roman"/>
          <w:color w:val="00B050"/>
          <w:lang w:val="en"/>
        </w:rPr>
        <w:t>PM</w:t>
      </w:r>
      <w:r w:rsidR="00FC6345" w:rsidRPr="00FC6345">
        <w:rPr>
          <w:rFonts w:cs="Times New Roman"/>
          <w:color w:val="00B050"/>
          <w:vertAlign w:val="subscript"/>
          <w:lang w:val="en"/>
        </w:rPr>
        <w:t>2.5</w:t>
      </w:r>
      <w:r w:rsidRPr="00FC6345">
        <w:rPr>
          <w:color w:val="00B050"/>
        </w:rPr>
        <w:t xml:space="preserve"> chemical species, particularly </w:t>
      </w:r>
      <w:r w:rsidR="009E01C7" w:rsidRPr="00060866">
        <w:rPr>
          <w:color w:val="00B050"/>
          <w:lang w:val="en"/>
        </w:rPr>
        <w:t>NO</w:t>
      </w:r>
      <w:r w:rsidR="009E01C7" w:rsidRPr="00060866">
        <w:rPr>
          <w:color w:val="00B050"/>
          <w:vertAlign w:val="subscript"/>
          <w:lang w:val="en"/>
        </w:rPr>
        <w:t>3</w:t>
      </w:r>
      <w:r w:rsidRPr="00FC6345">
        <w:rPr>
          <w:color w:val="00B050"/>
        </w:rPr>
        <w:t xml:space="preserve"> and ammonium, are also well simulated in the model, suggesting that this episode is suitable for modeling. </w:t>
      </w:r>
    </w:p>
    <w:p w14:paraId="4CDD179C" w14:textId="77777777" w:rsidR="003D4FD9" w:rsidRPr="00C452F1" w:rsidRDefault="003D4FD9" w:rsidP="003D4FD9">
      <w:pPr>
        <w:rPr>
          <w:i/>
          <w:lang w:val="en"/>
        </w:rPr>
      </w:pPr>
      <w:bookmarkStart w:id="62" w:name="_ynrdibv4yrsg" w:colFirst="0" w:colLast="0"/>
      <w:bookmarkStart w:id="63" w:name="_kj85c0fd3xuk" w:colFirst="0" w:colLast="0"/>
      <w:bookmarkEnd w:id="62"/>
      <w:bookmarkEnd w:id="63"/>
      <w:r w:rsidRPr="00C452F1">
        <w:rPr>
          <w:i/>
          <w:lang w:val="en"/>
        </w:rPr>
        <w:t>December 7-19, 2013</w:t>
      </w:r>
    </w:p>
    <w:p w14:paraId="58DFA3BF" w14:textId="4AA21E2E" w:rsidR="003D4FD9" w:rsidRPr="003024B1" w:rsidRDefault="003D4FD9" w:rsidP="00C452F1">
      <w:pPr>
        <w:rPr>
          <w:color w:val="00B050"/>
        </w:rPr>
      </w:pPr>
      <w:r w:rsidRPr="003024B1">
        <w:rPr>
          <w:color w:val="00B050"/>
          <w:lang w:val="en"/>
        </w:rPr>
        <w:t>The model performance for the December 7-19</w:t>
      </w:r>
      <w:r w:rsidR="00C452F1" w:rsidRPr="003024B1">
        <w:rPr>
          <w:color w:val="00B050"/>
          <w:lang w:val="en"/>
        </w:rPr>
        <w:t>,</w:t>
      </w:r>
      <w:r w:rsidRPr="003024B1">
        <w:rPr>
          <w:color w:val="00B050"/>
          <w:lang w:val="en"/>
        </w:rPr>
        <w:t xml:space="preserve"> 2013</w:t>
      </w:r>
      <w:r w:rsidR="00EC24BC">
        <w:rPr>
          <w:color w:val="00B050"/>
          <w:lang w:val="en"/>
        </w:rPr>
        <w:t>,</w:t>
      </w:r>
      <w:r w:rsidRPr="003024B1">
        <w:rPr>
          <w:color w:val="00B050"/>
          <w:lang w:val="en"/>
        </w:rPr>
        <w:t xml:space="preserve"> episode was first evaluated for 24-hr </w:t>
      </w:r>
      <w:r w:rsidR="00C452F1" w:rsidRPr="003024B1">
        <w:rPr>
          <w:rFonts w:cs="Times New Roman"/>
          <w:color w:val="00B050"/>
          <w:lang w:val="en"/>
        </w:rPr>
        <w:t>PM</w:t>
      </w:r>
      <w:r w:rsidR="00C452F1" w:rsidRPr="003024B1">
        <w:rPr>
          <w:rFonts w:cs="Times New Roman"/>
          <w:color w:val="00B050"/>
          <w:vertAlign w:val="subscript"/>
          <w:lang w:val="en"/>
        </w:rPr>
        <w:t>2.5</w:t>
      </w:r>
      <w:r w:rsidRPr="003024B1">
        <w:rPr>
          <w:color w:val="00B050"/>
          <w:lang w:val="en"/>
        </w:rPr>
        <w:t xml:space="preserve"> mass. A comparison of modeled and measured 24-hr </w:t>
      </w:r>
      <w:r w:rsidR="00FD56C9" w:rsidRPr="003024B1">
        <w:rPr>
          <w:rFonts w:cs="Times New Roman"/>
          <w:color w:val="00B050"/>
          <w:lang w:val="en"/>
        </w:rPr>
        <w:t>PM</w:t>
      </w:r>
      <w:r w:rsidR="00FD56C9" w:rsidRPr="003024B1">
        <w:rPr>
          <w:rFonts w:cs="Times New Roman"/>
          <w:color w:val="00B050"/>
          <w:vertAlign w:val="subscript"/>
          <w:lang w:val="en"/>
        </w:rPr>
        <w:t>2.5</w:t>
      </w:r>
      <w:r w:rsidRPr="003024B1">
        <w:rPr>
          <w:color w:val="00B050"/>
          <w:lang w:val="en"/>
        </w:rPr>
        <w:t xml:space="preserve"> during this period showed that, while the model generally represented well the temporal variation in </w:t>
      </w:r>
      <w:r w:rsidR="003024B1" w:rsidRPr="003024B1">
        <w:rPr>
          <w:rFonts w:cs="Times New Roman"/>
          <w:color w:val="00B050"/>
          <w:lang w:val="en"/>
        </w:rPr>
        <w:t>PM</w:t>
      </w:r>
      <w:r w:rsidR="003024B1" w:rsidRPr="003024B1">
        <w:rPr>
          <w:rFonts w:cs="Times New Roman"/>
          <w:color w:val="00B050"/>
          <w:vertAlign w:val="subscript"/>
          <w:lang w:val="en"/>
        </w:rPr>
        <w:t>2.5</w:t>
      </w:r>
      <w:r w:rsidRPr="003024B1">
        <w:rPr>
          <w:color w:val="00B050"/>
          <w:lang w:val="en"/>
        </w:rPr>
        <w:t xml:space="preserve">, the model simulated low </w:t>
      </w:r>
      <w:r w:rsidR="003024B1" w:rsidRPr="003024B1">
        <w:rPr>
          <w:rFonts w:cs="Times New Roman"/>
          <w:color w:val="00B050"/>
          <w:lang w:val="en"/>
        </w:rPr>
        <w:t>PM</w:t>
      </w:r>
      <w:r w:rsidR="003024B1" w:rsidRPr="003024B1">
        <w:rPr>
          <w:rFonts w:cs="Times New Roman"/>
          <w:color w:val="00B050"/>
          <w:vertAlign w:val="subscript"/>
          <w:lang w:val="en"/>
        </w:rPr>
        <w:t>2.5</w:t>
      </w:r>
      <w:r w:rsidRPr="003024B1">
        <w:rPr>
          <w:color w:val="00B050"/>
          <w:lang w:val="en"/>
        </w:rPr>
        <w:t xml:space="preserve"> concentrations compared to measurements (Figure </w:t>
      </w:r>
      <w:r w:rsidR="003024B1" w:rsidRPr="003024B1">
        <w:rPr>
          <w:color w:val="00B050"/>
          <w:lang w:val="en"/>
        </w:rPr>
        <w:t>IX.A.27.7</w:t>
      </w:r>
      <w:r w:rsidRPr="003024B1">
        <w:rPr>
          <w:color w:val="00B050"/>
          <w:lang w:val="en"/>
        </w:rPr>
        <w:t xml:space="preserve">). </w:t>
      </w:r>
      <w:r w:rsidRPr="003024B1">
        <w:rPr>
          <w:color w:val="00B050"/>
        </w:rPr>
        <w:t>This is likely related to a warm model temperature bias in the Utah Valley between December 10-14 due to inadequate simulation of stratus cloud formation during December 12-14 and inadequate representation of the surface of the Utah Lake. Although frozen in reality during this December episode, the surface of the Utah lake was not represented as frozen in the model</w:t>
      </w:r>
      <w:r w:rsidRPr="003024B1">
        <w:rPr>
          <w:color w:val="00B050"/>
          <w:vertAlign w:val="superscript"/>
        </w:rPr>
        <w:footnoteReference w:id="20"/>
      </w:r>
      <w:r w:rsidRPr="003024B1">
        <w:rPr>
          <w:color w:val="00B050"/>
        </w:rPr>
        <w:t>.</w:t>
      </w:r>
    </w:p>
    <w:p w14:paraId="620F4288" w14:textId="77777777" w:rsidR="00B9478E" w:rsidRDefault="003D4FD9" w:rsidP="00B9478E">
      <w:pPr>
        <w:keepNext/>
        <w:ind w:left="360"/>
      </w:pPr>
      <w:r w:rsidRPr="003D4FD9">
        <w:rPr>
          <w:noProof/>
          <w:color w:val="FF0000"/>
        </w:rPr>
        <w:drawing>
          <wp:inline distT="0" distB="0" distL="0" distR="0" wp14:anchorId="24E12038" wp14:editId="6B9DDB42">
            <wp:extent cx="4297680" cy="2743200"/>
            <wp:effectExtent l="0" t="0" r="7620" b="0"/>
            <wp:docPr id="17" name="Chart 17">
              <a:extLst xmlns:a="http://schemas.openxmlformats.org/drawingml/2006/main">
                <a:ext uri="{FF2B5EF4-FFF2-40B4-BE49-F238E27FC236}">
                  <a16:creationId xmlns:a16="http://schemas.microsoft.com/office/drawing/2014/main" id="{BAC9ECCE-03D8-429C-B26B-E8CB90B196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A0CF7E6" w14:textId="1292341B" w:rsidR="00B9478E" w:rsidRPr="003D4FD9" w:rsidRDefault="00B9478E" w:rsidP="00B9478E">
      <w:pPr>
        <w:pStyle w:val="Caption"/>
        <w:rPr>
          <w:color w:val="FF0000"/>
          <w:lang w:val="en"/>
        </w:rPr>
      </w:pPr>
      <w:bookmarkStart w:id="64" w:name="_Toc17201293"/>
      <w:r>
        <w:t xml:space="preserve">Figure IX.A.27. </w:t>
      </w:r>
      <w:fldSimple w:instr=" SEQ Figure_IX.A.27. \* ARABIC ">
        <w:r w:rsidR="00C012A9">
          <w:rPr>
            <w:noProof/>
          </w:rPr>
          <w:t>7</w:t>
        </w:r>
      </w:fldSimple>
      <w:r w:rsidRPr="00B9478E">
        <w:t xml:space="preserve"> </w:t>
      </w:r>
      <w:r>
        <w:t>Measured and Modeled 24-hr PM</w:t>
      </w:r>
      <w:r w:rsidR="006C7AA8">
        <w:rPr>
          <w:vertAlign w:val="subscript"/>
        </w:rPr>
        <w:t>2.5</w:t>
      </w:r>
      <w:r>
        <w:t xml:space="preserve"> Concentrations During December 7-19, 2013</w:t>
      </w:r>
      <w:r w:rsidR="00EC24BC">
        <w:t>,</w:t>
      </w:r>
      <w:r>
        <w:t xml:space="preserve"> at Lindon Monitoring Station in the Provo NAA</w:t>
      </w:r>
      <w:bookmarkEnd w:id="64"/>
    </w:p>
    <w:p w14:paraId="2E8EE342" w14:textId="77777777" w:rsidR="00B9478E" w:rsidRPr="003024B1" w:rsidRDefault="00B9478E" w:rsidP="00B9478E">
      <w:pPr>
        <w:rPr>
          <w:rFonts w:ascii="Arial" w:hAnsi="Arial" w:cs="Arial"/>
          <w:color w:val="00B050"/>
          <w:sz w:val="20"/>
          <w:szCs w:val="20"/>
          <w:lang w:val="en"/>
        </w:rPr>
      </w:pPr>
      <w:bookmarkStart w:id="65" w:name="OLE_LINK9"/>
      <w:bookmarkStart w:id="66" w:name="OLE_LINK10"/>
      <w:r w:rsidRPr="003024B1">
        <w:rPr>
          <w:rFonts w:ascii="Arial" w:hAnsi="Arial" w:cs="Arial"/>
          <w:color w:val="00B050"/>
          <w:sz w:val="20"/>
          <w:szCs w:val="20"/>
          <w:lang w:val="en"/>
        </w:rPr>
        <w:t xml:space="preserve">* </w:t>
      </w:r>
      <w:r>
        <w:rPr>
          <w:rFonts w:ascii="Arial" w:hAnsi="Arial" w:cs="Arial"/>
          <w:color w:val="00B050"/>
          <w:sz w:val="20"/>
          <w:szCs w:val="20"/>
          <w:lang w:val="en"/>
        </w:rPr>
        <w:t>Federal Reference Monitor (</w:t>
      </w:r>
      <w:r w:rsidRPr="003024B1">
        <w:rPr>
          <w:rFonts w:ascii="Arial" w:hAnsi="Arial" w:cs="Arial"/>
          <w:color w:val="00B050"/>
          <w:sz w:val="20"/>
          <w:szCs w:val="20"/>
          <w:lang w:val="en"/>
        </w:rPr>
        <w:t>FRM</w:t>
      </w:r>
      <w:r>
        <w:rPr>
          <w:rFonts w:ascii="Arial" w:hAnsi="Arial" w:cs="Arial"/>
          <w:color w:val="00B050"/>
          <w:sz w:val="20"/>
          <w:szCs w:val="20"/>
          <w:lang w:val="en"/>
        </w:rPr>
        <w:t>)</w:t>
      </w:r>
      <w:r w:rsidRPr="003024B1">
        <w:rPr>
          <w:rFonts w:ascii="Arial" w:hAnsi="Arial" w:cs="Arial"/>
          <w:color w:val="00B050"/>
          <w:sz w:val="20"/>
          <w:szCs w:val="20"/>
          <w:lang w:val="en"/>
        </w:rPr>
        <w:t xml:space="preserve"> data is missing for this day. Reported measurement corresponds to data collected with a continuous </w:t>
      </w:r>
      <w:r w:rsidRPr="00C80F27">
        <w:rPr>
          <w:rFonts w:cs="Times New Roman"/>
          <w:color w:val="00B050"/>
          <w:lang w:val="en"/>
        </w:rPr>
        <w:t>PM</w:t>
      </w:r>
      <w:r w:rsidRPr="00C80F27">
        <w:rPr>
          <w:rFonts w:cs="Times New Roman"/>
          <w:color w:val="00B050"/>
          <w:vertAlign w:val="subscript"/>
          <w:lang w:val="en"/>
        </w:rPr>
        <w:t>2.5</w:t>
      </w:r>
      <w:r w:rsidRPr="003024B1">
        <w:rPr>
          <w:rFonts w:ascii="Arial" w:hAnsi="Arial" w:cs="Arial"/>
          <w:color w:val="00B050"/>
          <w:sz w:val="20"/>
          <w:szCs w:val="20"/>
          <w:lang w:val="en"/>
        </w:rPr>
        <w:t xml:space="preserve"> instrument</w:t>
      </w:r>
      <w:bookmarkEnd w:id="65"/>
      <w:bookmarkEnd w:id="66"/>
      <w:r w:rsidRPr="003024B1">
        <w:rPr>
          <w:rFonts w:ascii="Arial" w:hAnsi="Arial" w:cs="Arial"/>
          <w:color w:val="00B050"/>
          <w:sz w:val="20"/>
          <w:szCs w:val="20"/>
          <w:lang w:val="en"/>
        </w:rPr>
        <w:t xml:space="preserve">. </w:t>
      </w:r>
    </w:p>
    <w:p w14:paraId="10F605B0" w14:textId="0FFCF456" w:rsidR="003D4FD9" w:rsidRPr="00C80F27" w:rsidRDefault="00B9478E" w:rsidP="003D4FD9">
      <w:pPr>
        <w:rPr>
          <w:color w:val="00B050"/>
        </w:rPr>
      </w:pPr>
      <w:r>
        <w:rPr>
          <w:color w:val="00B050"/>
          <w:lang w:val="en"/>
        </w:rPr>
        <w:t>T</w:t>
      </w:r>
      <w:r w:rsidR="003D4FD9" w:rsidRPr="00C80F27">
        <w:rPr>
          <w:color w:val="00B050"/>
          <w:lang w:val="en"/>
        </w:rPr>
        <w:t xml:space="preserve">o further evaluate the model performance during this episode, modeled and measured </w:t>
      </w:r>
      <w:r w:rsidR="00FC6345" w:rsidRPr="00C80F27">
        <w:rPr>
          <w:rFonts w:cs="Times New Roman"/>
          <w:color w:val="00B050"/>
          <w:lang w:val="en"/>
        </w:rPr>
        <w:t>PM</w:t>
      </w:r>
      <w:r w:rsidR="00FC6345" w:rsidRPr="00C80F27">
        <w:rPr>
          <w:rFonts w:cs="Times New Roman"/>
          <w:color w:val="00B050"/>
          <w:vertAlign w:val="subscript"/>
          <w:lang w:val="en"/>
        </w:rPr>
        <w:t>2.5</w:t>
      </w:r>
      <w:r w:rsidR="003D4FD9" w:rsidRPr="00C80F27">
        <w:rPr>
          <w:color w:val="00B050"/>
          <w:lang w:val="en"/>
        </w:rPr>
        <w:t xml:space="preserve"> chemical species on December 12, which corresponds to a </w:t>
      </w:r>
      <w:r w:rsidR="00FC6345" w:rsidRPr="00C80F27">
        <w:rPr>
          <w:rFonts w:cs="Times New Roman"/>
          <w:color w:val="00B050"/>
          <w:lang w:val="en"/>
        </w:rPr>
        <w:t>PM</w:t>
      </w:r>
      <w:r w:rsidR="00FC6345" w:rsidRPr="00C80F27">
        <w:rPr>
          <w:rFonts w:cs="Times New Roman"/>
          <w:color w:val="00B050"/>
          <w:vertAlign w:val="subscript"/>
          <w:lang w:val="en"/>
        </w:rPr>
        <w:t>2.5</w:t>
      </w:r>
      <w:r w:rsidR="003D4FD9" w:rsidRPr="00C80F27">
        <w:rPr>
          <w:color w:val="00B050"/>
          <w:lang w:val="en"/>
        </w:rPr>
        <w:t xml:space="preserve"> exceedance day with available speciation measurements, were compared (Figure</w:t>
      </w:r>
      <w:r w:rsidR="00C80F27" w:rsidRPr="00C80F27">
        <w:rPr>
          <w:color w:val="00B050"/>
          <w:lang w:val="en"/>
        </w:rPr>
        <w:t xml:space="preserve"> IX.A.27.8</w:t>
      </w:r>
      <w:r w:rsidR="003D4FD9" w:rsidRPr="00C80F27">
        <w:rPr>
          <w:color w:val="00B050"/>
          <w:lang w:val="en"/>
        </w:rPr>
        <w:t xml:space="preserve">). </w:t>
      </w:r>
      <w:r w:rsidR="009E01C7" w:rsidRPr="00060866">
        <w:rPr>
          <w:color w:val="00B050"/>
          <w:lang w:val="en"/>
        </w:rPr>
        <w:t>NO</w:t>
      </w:r>
      <w:r w:rsidR="009E01C7" w:rsidRPr="00060866">
        <w:rPr>
          <w:color w:val="00B050"/>
          <w:vertAlign w:val="subscript"/>
          <w:lang w:val="en"/>
        </w:rPr>
        <w:t>3</w:t>
      </w:r>
      <w:r w:rsidR="003D4FD9" w:rsidRPr="00C80F27">
        <w:rPr>
          <w:color w:val="00B050"/>
          <w:lang w:val="en"/>
        </w:rPr>
        <w:t>, ammonium</w:t>
      </w:r>
      <w:r w:rsidR="00CC4AE6">
        <w:rPr>
          <w:color w:val="00B050"/>
          <w:lang w:val="en"/>
        </w:rPr>
        <w:t>,</w:t>
      </w:r>
      <w:r w:rsidR="003D4FD9" w:rsidRPr="00C80F27">
        <w:rPr>
          <w:color w:val="00B050"/>
          <w:lang w:val="en"/>
        </w:rPr>
        <w:t xml:space="preserve"> and OC are all underpredicted in the model, which is possibly related to the meteorological model performance. The WRF model overpredicted surface temperatures, leading to increased mixing and therefore reduction in concentrations. Moreover, similarly to the model performance for the January 2011 episode, crustal material is overpredicted in the model. An adjustment to paved road dust emissions was not applied for the December 2013 simulations. </w:t>
      </w:r>
    </w:p>
    <w:p w14:paraId="4944EBC2" w14:textId="1808A6BC" w:rsidR="003D4FD9" w:rsidRPr="006B1C97" w:rsidRDefault="003D4FD9" w:rsidP="003D4FD9">
      <w:pPr>
        <w:rPr>
          <w:color w:val="00B050"/>
          <w:lang w:val="en"/>
        </w:rPr>
      </w:pPr>
      <w:r w:rsidRPr="00C80F27">
        <w:rPr>
          <w:color w:val="00B050"/>
          <w:lang w:val="en"/>
        </w:rPr>
        <w:t xml:space="preserve">Given that the strength of the capping inversion was not well simulated in the meteorological model, selection of the December 2013 episode </w:t>
      </w:r>
      <w:r w:rsidRPr="006B1C97">
        <w:rPr>
          <w:color w:val="00B050"/>
          <w:lang w:val="en"/>
        </w:rPr>
        <w:t xml:space="preserve">as modeling episode for </w:t>
      </w:r>
      <w:r w:rsidR="006B1C97" w:rsidRPr="006B1C97">
        <w:rPr>
          <w:color w:val="00B050"/>
          <w:lang w:val="en"/>
        </w:rPr>
        <w:t>modeling</w:t>
      </w:r>
      <w:r w:rsidRPr="006B1C97">
        <w:rPr>
          <w:color w:val="00B050"/>
          <w:lang w:val="en"/>
        </w:rPr>
        <w:t xml:space="preserve"> demonstration</w:t>
      </w:r>
      <w:r w:rsidR="006B1C97" w:rsidRPr="006B1C97">
        <w:rPr>
          <w:color w:val="00B050"/>
          <w:lang w:val="en"/>
        </w:rPr>
        <w:t xml:space="preserve"> </w:t>
      </w:r>
      <w:r w:rsidRPr="006B1C97">
        <w:rPr>
          <w:color w:val="00B050"/>
          <w:lang w:val="en"/>
        </w:rPr>
        <w:t xml:space="preserve">is not desirable. </w:t>
      </w:r>
    </w:p>
    <w:p w14:paraId="1FAA79F9" w14:textId="77777777" w:rsidR="00D53761" w:rsidRDefault="003D4FD9" w:rsidP="00D53761">
      <w:pPr>
        <w:keepNext/>
      </w:pPr>
      <w:r w:rsidRPr="003D4FD9">
        <w:rPr>
          <w:noProof/>
          <w:color w:val="FF0000"/>
        </w:rPr>
        <w:drawing>
          <wp:inline distT="0" distB="0" distL="0" distR="0" wp14:anchorId="21F167CB" wp14:editId="0DD008B9">
            <wp:extent cx="2834640" cy="43307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3D4FD9">
        <w:rPr>
          <w:color w:val="FF0000"/>
        </w:rPr>
        <w:t xml:space="preserve">       </w:t>
      </w:r>
      <w:r w:rsidRPr="003D4FD9">
        <w:rPr>
          <w:noProof/>
          <w:color w:val="FF0000"/>
        </w:rPr>
        <w:drawing>
          <wp:inline distT="0" distB="0" distL="0" distR="0" wp14:anchorId="19F6F27C" wp14:editId="2CFFDE8A">
            <wp:extent cx="2743200" cy="45021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8D4226C" w14:textId="6F77C1CB" w:rsidR="00024F1F" w:rsidRDefault="00D53761" w:rsidP="00D53761">
      <w:pPr>
        <w:pStyle w:val="Caption"/>
      </w:pPr>
      <w:bookmarkStart w:id="67" w:name="_Toc17201294"/>
      <w:r>
        <w:t xml:space="preserve">Figure IX.A.27. </w:t>
      </w:r>
      <w:fldSimple w:instr=" SEQ Figure_IX.A.27. \* ARABIC ">
        <w:r w:rsidR="00C012A9">
          <w:rPr>
            <w:noProof/>
          </w:rPr>
          <w:t>8</w:t>
        </w:r>
      </w:fldSimple>
      <w:r w:rsidRPr="00D53761">
        <w:t xml:space="preserve"> </w:t>
      </w:r>
      <w:r w:rsidR="00F9246C">
        <w:t xml:space="preserve">a) </w:t>
      </w:r>
      <w:r w:rsidRPr="00157FD1">
        <w:t xml:space="preserve">Measured and </w:t>
      </w:r>
      <w:r w:rsidR="00F9246C">
        <w:t xml:space="preserve">b) </w:t>
      </w:r>
      <w:r w:rsidRPr="00157FD1">
        <w:t>Modeled Chemical Composition of 24-hr PM</w:t>
      </w:r>
      <w:r w:rsidR="009D01D7">
        <w:rPr>
          <w:vertAlign w:val="subscript"/>
        </w:rPr>
        <w:t>2.5</w:t>
      </w:r>
      <w:r w:rsidRPr="00157FD1">
        <w:t xml:space="preserve"> in ug/m3 and % </w:t>
      </w:r>
      <w:r w:rsidR="00234D0B">
        <w:t>of PM</w:t>
      </w:r>
      <w:r w:rsidR="006C7AA8">
        <w:rPr>
          <w:vertAlign w:val="subscript"/>
        </w:rPr>
        <w:t>2.5</w:t>
      </w:r>
      <w:r w:rsidR="00234D0B">
        <w:t xml:space="preserve"> </w:t>
      </w:r>
      <w:r w:rsidRPr="00157FD1">
        <w:t>at Lindon Monitoring Station in Provo NAA on December 12, 2013</w:t>
      </w:r>
      <w:bookmarkEnd w:id="67"/>
    </w:p>
    <w:p w14:paraId="7803D239" w14:textId="77777777" w:rsidR="00D53761" w:rsidRDefault="00D53761" w:rsidP="003D4FD9">
      <w:pPr>
        <w:rPr>
          <w:i/>
          <w:lang w:val="en"/>
        </w:rPr>
      </w:pPr>
    </w:p>
    <w:p w14:paraId="7FB9BFD3" w14:textId="3C1E788F" w:rsidR="003D4FD9" w:rsidRPr="00086657" w:rsidRDefault="003D4FD9" w:rsidP="003D4FD9">
      <w:pPr>
        <w:rPr>
          <w:i/>
          <w:lang w:val="en"/>
        </w:rPr>
      </w:pPr>
      <w:r w:rsidRPr="00086657">
        <w:rPr>
          <w:i/>
          <w:lang w:val="en"/>
        </w:rPr>
        <w:t>February 1-16, 2016</w:t>
      </w:r>
    </w:p>
    <w:p w14:paraId="1400FA24" w14:textId="7C1A266B" w:rsidR="003D4FD9" w:rsidRPr="00086657" w:rsidRDefault="003D4FD9" w:rsidP="00086657">
      <w:pPr>
        <w:rPr>
          <w:color w:val="00B050"/>
          <w:lang w:val="en"/>
        </w:rPr>
      </w:pPr>
      <w:r w:rsidRPr="00086657">
        <w:rPr>
          <w:color w:val="00B050"/>
          <w:lang w:val="en"/>
        </w:rPr>
        <w:t xml:space="preserve">A comparison of modeled and measured 24-hr </w:t>
      </w:r>
      <w:r w:rsidR="00086657" w:rsidRPr="00086657">
        <w:rPr>
          <w:rFonts w:cs="Times New Roman"/>
          <w:color w:val="00B050"/>
          <w:lang w:val="en"/>
        </w:rPr>
        <w:t>PM</w:t>
      </w:r>
      <w:r w:rsidR="00086657" w:rsidRPr="00086657">
        <w:rPr>
          <w:rFonts w:cs="Times New Roman"/>
          <w:color w:val="00B050"/>
          <w:vertAlign w:val="subscript"/>
          <w:lang w:val="en"/>
        </w:rPr>
        <w:t>2.5</w:t>
      </w:r>
      <w:r w:rsidRPr="00086657">
        <w:rPr>
          <w:color w:val="00B050"/>
          <w:lang w:val="en"/>
        </w:rPr>
        <w:t xml:space="preserve"> at </w:t>
      </w:r>
      <w:r w:rsidR="00E72E8B">
        <w:rPr>
          <w:color w:val="00B050"/>
          <w:lang w:val="en"/>
        </w:rPr>
        <w:t xml:space="preserve">the </w:t>
      </w:r>
      <w:r w:rsidRPr="00086657">
        <w:rPr>
          <w:color w:val="00B050"/>
          <w:lang w:val="en"/>
        </w:rPr>
        <w:t>Lindon monitoring station in the Provo NAA during February 1-16</w:t>
      </w:r>
      <w:r w:rsidR="00A20901">
        <w:rPr>
          <w:color w:val="00B050"/>
          <w:lang w:val="en"/>
        </w:rPr>
        <w:t>,</w:t>
      </w:r>
      <w:r w:rsidRPr="00086657">
        <w:rPr>
          <w:color w:val="00B050"/>
          <w:lang w:val="en"/>
        </w:rPr>
        <w:t xml:space="preserve"> 2016 showed that peak </w:t>
      </w:r>
      <w:r w:rsidR="00E72E8B" w:rsidRPr="00C80F27">
        <w:rPr>
          <w:rFonts w:cs="Times New Roman"/>
          <w:color w:val="00B050"/>
          <w:lang w:val="en"/>
        </w:rPr>
        <w:t>PM</w:t>
      </w:r>
      <w:r w:rsidR="00E72E8B" w:rsidRPr="00C80F27">
        <w:rPr>
          <w:rFonts w:cs="Times New Roman"/>
          <w:color w:val="00B050"/>
          <w:vertAlign w:val="subscript"/>
          <w:lang w:val="en"/>
        </w:rPr>
        <w:t>2.5</w:t>
      </w:r>
      <w:r w:rsidRPr="00086657">
        <w:rPr>
          <w:color w:val="00B050"/>
          <w:lang w:val="en"/>
        </w:rPr>
        <w:t xml:space="preserve"> concentrations are not well simulated in the model (Figure </w:t>
      </w:r>
      <w:r w:rsidR="00E82906">
        <w:rPr>
          <w:color w:val="00B050"/>
          <w:lang w:val="en"/>
        </w:rPr>
        <w:t>IX.A.27.9</w:t>
      </w:r>
      <w:r w:rsidRPr="00086657">
        <w:rPr>
          <w:color w:val="00B050"/>
          <w:lang w:val="en"/>
        </w:rPr>
        <w:t xml:space="preserve">). The increase in </w:t>
      </w:r>
      <w:r w:rsidR="00086657" w:rsidRPr="00086657">
        <w:rPr>
          <w:rFonts w:cs="Times New Roman"/>
          <w:color w:val="00B050"/>
          <w:lang w:val="en"/>
        </w:rPr>
        <w:t>PM</w:t>
      </w:r>
      <w:r w:rsidR="00086657" w:rsidRPr="00086657">
        <w:rPr>
          <w:rFonts w:cs="Times New Roman"/>
          <w:color w:val="00B050"/>
          <w:vertAlign w:val="subscript"/>
          <w:lang w:val="en"/>
        </w:rPr>
        <w:t>2.5</w:t>
      </w:r>
      <w:r w:rsidRPr="00086657">
        <w:rPr>
          <w:color w:val="00B050"/>
          <w:lang w:val="en"/>
        </w:rPr>
        <w:t xml:space="preserve"> is not well represented in the model, with </w:t>
      </w:r>
      <w:r w:rsidR="00086657" w:rsidRPr="00086657">
        <w:rPr>
          <w:rFonts w:cs="Times New Roman"/>
          <w:color w:val="00B050"/>
          <w:lang w:val="en"/>
        </w:rPr>
        <w:t>PM</w:t>
      </w:r>
      <w:r w:rsidR="00086657" w:rsidRPr="00086657">
        <w:rPr>
          <w:rFonts w:cs="Times New Roman"/>
          <w:color w:val="00B050"/>
          <w:vertAlign w:val="subscript"/>
          <w:lang w:val="en"/>
        </w:rPr>
        <w:t>2.5</w:t>
      </w:r>
      <w:r w:rsidRPr="00086657">
        <w:rPr>
          <w:color w:val="00B050"/>
          <w:lang w:val="en"/>
        </w:rPr>
        <w:t xml:space="preserve"> concentrations building up then dropping prematurely in the model. The model also failed at capturing the observed </w:t>
      </w:r>
      <w:r w:rsidR="00086657" w:rsidRPr="00086657">
        <w:rPr>
          <w:rFonts w:cs="Times New Roman"/>
          <w:color w:val="00B050"/>
          <w:lang w:val="en"/>
        </w:rPr>
        <w:t>PM</w:t>
      </w:r>
      <w:r w:rsidR="00086657" w:rsidRPr="00086657">
        <w:rPr>
          <w:rFonts w:cs="Times New Roman"/>
          <w:color w:val="00B050"/>
          <w:vertAlign w:val="subscript"/>
          <w:lang w:val="en"/>
        </w:rPr>
        <w:t>2.5</w:t>
      </w:r>
      <w:r w:rsidRPr="00086657">
        <w:rPr>
          <w:color w:val="00B050"/>
          <w:lang w:val="en"/>
        </w:rPr>
        <w:t xml:space="preserve"> peak on February 14. These results can be attributed to the meteorological model performance. A warm modeled temperature bias in the Utah Valley due to early snow melt-out in the model as well as premature dissipation of simulated clouds likely contributed to increased mixing and early dispersion of </w:t>
      </w:r>
      <w:r w:rsidR="00086657" w:rsidRPr="00086657">
        <w:rPr>
          <w:rFonts w:cs="Times New Roman"/>
          <w:color w:val="00B050"/>
          <w:lang w:val="en"/>
        </w:rPr>
        <w:t>PM</w:t>
      </w:r>
      <w:r w:rsidR="00086657" w:rsidRPr="00086657">
        <w:rPr>
          <w:rFonts w:cs="Times New Roman"/>
          <w:color w:val="00B050"/>
          <w:vertAlign w:val="subscript"/>
          <w:lang w:val="en"/>
        </w:rPr>
        <w:t>2.5</w:t>
      </w:r>
      <w:r w:rsidRPr="00086657">
        <w:rPr>
          <w:color w:val="00B050"/>
          <w:lang w:val="en"/>
        </w:rPr>
        <w:t xml:space="preserve"> in the model</w:t>
      </w:r>
      <w:r w:rsidRPr="00086657">
        <w:rPr>
          <w:color w:val="00B050"/>
          <w:vertAlign w:val="superscript"/>
          <w:lang w:val="en"/>
        </w:rPr>
        <w:footnoteReference w:id="21"/>
      </w:r>
      <w:r w:rsidRPr="00086657">
        <w:rPr>
          <w:color w:val="00B050"/>
          <w:lang w:val="en"/>
        </w:rPr>
        <w:t xml:space="preserve">. </w:t>
      </w:r>
    </w:p>
    <w:p w14:paraId="37566CB7" w14:textId="77777777" w:rsidR="00D53761" w:rsidRDefault="003D4FD9" w:rsidP="00D53761">
      <w:pPr>
        <w:keepNext/>
      </w:pPr>
      <w:r w:rsidRPr="003D4FD9">
        <w:rPr>
          <w:color w:val="FF0000"/>
        </w:rPr>
        <w:t xml:space="preserve"> </w:t>
      </w:r>
      <w:r w:rsidRPr="003D4FD9">
        <w:rPr>
          <w:noProof/>
          <w:color w:val="FF0000"/>
        </w:rPr>
        <w:drawing>
          <wp:inline distT="0" distB="0" distL="0" distR="0" wp14:anchorId="5C57495E" wp14:editId="1BA67C2F">
            <wp:extent cx="4297680" cy="3017520"/>
            <wp:effectExtent l="0" t="0" r="762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77946717" w14:textId="215DF098" w:rsidR="00E82906" w:rsidRDefault="00D53761" w:rsidP="00376F32">
      <w:pPr>
        <w:pStyle w:val="Caption"/>
      </w:pPr>
      <w:bookmarkStart w:id="68" w:name="_Toc17201295"/>
      <w:r>
        <w:t xml:space="preserve">Figure IX.A.27. </w:t>
      </w:r>
      <w:r w:rsidR="00621055" w:rsidRPr="00CC4AE6">
        <w:rPr>
          <w:iCs w:val="0"/>
        </w:rPr>
        <w:fldChar w:fldCharType="begin"/>
      </w:r>
      <w:r w:rsidR="00621055" w:rsidRPr="00CC4AE6">
        <w:rPr>
          <w:iCs w:val="0"/>
        </w:rPr>
        <w:instrText xml:space="preserve"> SEQ Figure_IX.A.27. \* ARABIC </w:instrText>
      </w:r>
      <w:r w:rsidR="00621055" w:rsidRPr="00CC4AE6">
        <w:rPr>
          <w:iCs w:val="0"/>
        </w:rPr>
        <w:fldChar w:fldCharType="separate"/>
      </w:r>
      <w:r w:rsidR="00C012A9">
        <w:rPr>
          <w:iCs w:val="0"/>
          <w:noProof/>
        </w:rPr>
        <w:t>9</w:t>
      </w:r>
      <w:r w:rsidR="00621055" w:rsidRPr="00CC4AE6">
        <w:rPr>
          <w:rFonts w:ascii="Times New Roman" w:hAnsi="Times New Roman"/>
          <w:iCs w:val="0"/>
          <w:noProof/>
          <w:color w:val="auto"/>
          <w:szCs w:val="22"/>
        </w:rPr>
        <w:fldChar w:fldCharType="end"/>
      </w:r>
      <w:r w:rsidRPr="00D53761">
        <w:t xml:space="preserve"> </w:t>
      </w:r>
      <w:r w:rsidRPr="00321AD9">
        <w:t>Measured and Modeled 24-hr PM</w:t>
      </w:r>
      <w:r w:rsidRPr="001468FF">
        <w:rPr>
          <w:vertAlign w:val="subscript"/>
        </w:rPr>
        <w:t>2.5</w:t>
      </w:r>
      <w:r w:rsidRPr="001468FF">
        <w:t xml:space="preserve"> </w:t>
      </w:r>
      <w:r w:rsidRPr="00321AD9">
        <w:t>Concentrations During February 1-16, 2016 at Lindon Monitoring Station in the Provo NAA</w:t>
      </w:r>
      <w:r w:rsidR="00B91701">
        <w:t xml:space="preserve">. </w:t>
      </w:r>
      <w:r w:rsidR="00E82906" w:rsidRPr="00E82906">
        <w:t xml:space="preserve">FRM data was missing for all episode days. Reported measurements correspond to data collected with a continuous </w:t>
      </w:r>
      <w:r w:rsidR="00E82906" w:rsidRPr="00E82906">
        <w:rPr>
          <w:rFonts w:cs="Times New Roman"/>
          <w:lang w:val="en"/>
        </w:rPr>
        <w:t>PM</w:t>
      </w:r>
      <w:r w:rsidR="00E82906" w:rsidRPr="00E82906">
        <w:rPr>
          <w:rFonts w:cs="Times New Roman"/>
          <w:vertAlign w:val="subscript"/>
          <w:lang w:val="en"/>
        </w:rPr>
        <w:t xml:space="preserve">2.5 </w:t>
      </w:r>
      <w:r w:rsidR="00E82906" w:rsidRPr="00E82906">
        <w:t>instrument.</w:t>
      </w:r>
      <w:bookmarkEnd w:id="68"/>
    </w:p>
    <w:p w14:paraId="68DEAA64" w14:textId="77777777" w:rsidR="00B91701" w:rsidRPr="00B91701" w:rsidRDefault="00B91701"/>
    <w:p w14:paraId="7B7217FD" w14:textId="05A1F1C3" w:rsidR="003D4FD9" w:rsidRPr="00E82906" w:rsidRDefault="003D4FD9" w:rsidP="003D4FD9">
      <w:pPr>
        <w:rPr>
          <w:color w:val="00B050"/>
          <w:lang w:val="en"/>
        </w:rPr>
      </w:pPr>
      <w:bookmarkStart w:id="69" w:name="_Hlk15634331"/>
      <w:bookmarkStart w:id="70" w:name="OLE_LINK11"/>
      <w:bookmarkStart w:id="71" w:name="OLE_LINK12"/>
      <w:r w:rsidRPr="00E82906">
        <w:rPr>
          <w:color w:val="00B050"/>
          <w:lang w:val="en"/>
        </w:rPr>
        <w:t xml:space="preserve">The model performance for this episode was further assessed for </w:t>
      </w:r>
      <w:r w:rsidR="00E82906" w:rsidRPr="00E82906">
        <w:rPr>
          <w:rFonts w:cs="Times New Roman"/>
          <w:color w:val="00B050"/>
          <w:lang w:val="en"/>
        </w:rPr>
        <w:t>PM</w:t>
      </w:r>
      <w:r w:rsidR="00E82906" w:rsidRPr="00E82906">
        <w:rPr>
          <w:rFonts w:cs="Times New Roman"/>
          <w:color w:val="00B050"/>
          <w:vertAlign w:val="subscript"/>
          <w:lang w:val="en"/>
        </w:rPr>
        <w:t>2.5</w:t>
      </w:r>
      <w:r w:rsidRPr="00E82906">
        <w:rPr>
          <w:color w:val="00B050"/>
          <w:lang w:val="en"/>
        </w:rPr>
        <w:t xml:space="preserve"> bulk chemical species on February 12, which corresponds to a </w:t>
      </w:r>
      <w:r w:rsidR="00E82906" w:rsidRPr="00E82906">
        <w:rPr>
          <w:rFonts w:cs="Times New Roman"/>
          <w:color w:val="00B050"/>
          <w:lang w:val="en"/>
        </w:rPr>
        <w:t>PM</w:t>
      </w:r>
      <w:r w:rsidR="00E82906" w:rsidRPr="00E82906">
        <w:rPr>
          <w:rFonts w:cs="Times New Roman"/>
          <w:color w:val="00B050"/>
          <w:vertAlign w:val="subscript"/>
          <w:lang w:val="en"/>
        </w:rPr>
        <w:t>2.5</w:t>
      </w:r>
      <w:r w:rsidRPr="00E82906">
        <w:rPr>
          <w:color w:val="00B050"/>
          <w:lang w:val="en"/>
        </w:rPr>
        <w:t xml:space="preserve"> exceedance day (Figur</w:t>
      </w:r>
      <w:r w:rsidR="00E82906" w:rsidRPr="00E82906">
        <w:rPr>
          <w:color w:val="00B050"/>
          <w:lang w:val="en"/>
        </w:rPr>
        <w:t>e IX.A.27.10</w:t>
      </w:r>
      <w:r w:rsidRPr="00E82906">
        <w:rPr>
          <w:color w:val="00B050"/>
          <w:lang w:val="en"/>
        </w:rPr>
        <w:t xml:space="preserve">). </w:t>
      </w:r>
      <w:r w:rsidR="009E01C7" w:rsidRPr="00060866">
        <w:rPr>
          <w:color w:val="00B050"/>
          <w:lang w:val="en"/>
        </w:rPr>
        <w:t>NO</w:t>
      </w:r>
      <w:r w:rsidR="009E01C7" w:rsidRPr="00060866">
        <w:rPr>
          <w:color w:val="00B050"/>
          <w:vertAlign w:val="subscript"/>
          <w:lang w:val="en"/>
        </w:rPr>
        <w:t>3</w:t>
      </w:r>
      <w:r w:rsidR="009E01C7">
        <w:rPr>
          <w:color w:val="00B050"/>
          <w:lang w:val="en"/>
        </w:rPr>
        <w:t>,</w:t>
      </w:r>
      <w:r w:rsidRPr="00E82906">
        <w:rPr>
          <w:color w:val="00B050"/>
          <w:lang w:val="en"/>
        </w:rPr>
        <w:t xml:space="preserve"> a major component of </w:t>
      </w:r>
      <w:r w:rsidR="00E82906" w:rsidRPr="00E82906">
        <w:rPr>
          <w:rFonts w:cs="Times New Roman"/>
          <w:color w:val="00B050"/>
          <w:lang w:val="en"/>
        </w:rPr>
        <w:t>PM</w:t>
      </w:r>
      <w:r w:rsidR="00E82906" w:rsidRPr="00E82906">
        <w:rPr>
          <w:rFonts w:cs="Times New Roman"/>
          <w:color w:val="00B050"/>
          <w:vertAlign w:val="subscript"/>
          <w:lang w:val="en"/>
        </w:rPr>
        <w:t>2.5</w:t>
      </w:r>
      <w:r w:rsidRPr="00E82906">
        <w:rPr>
          <w:color w:val="00B050"/>
          <w:lang w:val="en"/>
        </w:rPr>
        <w:t>, was underpredicted by about 25% in the model. Moreover, similarly to the model performance for the two other meteorological episodes, EC and crustal material were overestimated in the model. The model performance for all other species was overall acceptable.</w:t>
      </w:r>
    </w:p>
    <w:p w14:paraId="630F487B" w14:textId="2D8DD493" w:rsidR="003D4FD9" w:rsidRPr="006B1C97" w:rsidRDefault="003D4FD9" w:rsidP="003D4FD9">
      <w:pPr>
        <w:rPr>
          <w:color w:val="00B050"/>
          <w:lang w:val="en"/>
        </w:rPr>
      </w:pPr>
      <w:r w:rsidRPr="00E82906">
        <w:rPr>
          <w:color w:val="00B050"/>
          <w:lang w:val="en"/>
        </w:rPr>
        <w:t xml:space="preserve">Although the chemical composition of </w:t>
      </w:r>
      <w:r w:rsidR="00E82906" w:rsidRPr="00E82906">
        <w:rPr>
          <w:rFonts w:cs="Times New Roman"/>
          <w:color w:val="00B050"/>
          <w:lang w:val="en"/>
        </w:rPr>
        <w:t>PM</w:t>
      </w:r>
      <w:r w:rsidR="00E82906" w:rsidRPr="00E82906">
        <w:rPr>
          <w:rFonts w:cs="Times New Roman"/>
          <w:color w:val="00B050"/>
          <w:vertAlign w:val="subscript"/>
          <w:lang w:val="en"/>
        </w:rPr>
        <w:t>2.5</w:t>
      </w:r>
      <w:r w:rsidRPr="00E82906">
        <w:rPr>
          <w:color w:val="00B050"/>
          <w:lang w:val="en"/>
        </w:rPr>
        <w:t xml:space="preserve"> on February 12 is overall well reproduced by the model, the timing in </w:t>
      </w:r>
      <w:r w:rsidR="00E82906" w:rsidRPr="00E82906">
        <w:rPr>
          <w:rFonts w:cs="Times New Roman"/>
          <w:color w:val="00B050"/>
          <w:lang w:val="en"/>
        </w:rPr>
        <w:t>PM</w:t>
      </w:r>
      <w:r w:rsidR="00E82906" w:rsidRPr="00E82906">
        <w:rPr>
          <w:rFonts w:cs="Times New Roman"/>
          <w:color w:val="00B050"/>
          <w:vertAlign w:val="subscript"/>
          <w:lang w:val="en"/>
        </w:rPr>
        <w:t>2.5</w:t>
      </w:r>
      <w:r w:rsidRPr="00E82906">
        <w:rPr>
          <w:color w:val="00B050"/>
          <w:lang w:val="en"/>
        </w:rPr>
        <w:t xml:space="preserve"> peaks was </w:t>
      </w:r>
      <w:r w:rsidR="00B91701">
        <w:rPr>
          <w:color w:val="00B050"/>
          <w:lang w:val="en"/>
        </w:rPr>
        <w:t>generally</w:t>
      </w:r>
      <w:r w:rsidR="00B91701" w:rsidRPr="00E82906">
        <w:rPr>
          <w:color w:val="00B050"/>
          <w:lang w:val="en"/>
        </w:rPr>
        <w:t xml:space="preserve"> </w:t>
      </w:r>
      <w:r w:rsidRPr="00E82906">
        <w:rPr>
          <w:color w:val="00B050"/>
          <w:lang w:val="en"/>
        </w:rPr>
        <w:t xml:space="preserve">poorly represented, suggesting that </w:t>
      </w:r>
      <w:r w:rsidRPr="006B1C97">
        <w:rPr>
          <w:color w:val="00B050"/>
          <w:lang w:val="en"/>
        </w:rPr>
        <w:t>this episode not suitable for modeling.</w:t>
      </w:r>
    </w:p>
    <w:bookmarkEnd w:id="69"/>
    <w:p w14:paraId="5C5C9563" w14:textId="77777777" w:rsidR="003D4FD9" w:rsidRPr="006B1C97" w:rsidRDefault="003D4FD9" w:rsidP="003D4FD9">
      <w:pPr>
        <w:rPr>
          <w:b/>
          <w:color w:val="00B050"/>
          <w:lang w:val="en"/>
        </w:rPr>
      </w:pPr>
    </w:p>
    <w:bookmarkEnd w:id="70"/>
    <w:bookmarkEnd w:id="71"/>
    <w:p w14:paraId="76CF5748" w14:textId="77777777" w:rsidR="00EC1924" w:rsidRDefault="003D4FD9" w:rsidP="00EC1924">
      <w:pPr>
        <w:keepNext/>
      </w:pPr>
      <w:r w:rsidRPr="003D4FD9">
        <w:rPr>
          <w:noProof/>
          <w:color w:val="FF0000"/>
        </w:rPr>
        <w:drawing>
          <wp:inline distT="0" distB="0" distL="0" distR="0" wp14:anchorId="5CF6D32A" wp14:editId="166EFEAE">
            <wp:extent cx="2834640" cy="4334256"/>
            <wp:effectExtent l="0" t="0" r="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3D4FD9">
        <w:rPr>
          <w:color w:val="FF0000"/>
        </w:rPr>
        <w:t xml:space="preserve"> </w:t>
      </w:r>
      <w:r w:rsidRPr="003D4FD9">
        <w:rPr>
          <w:noProof/>
          <w:color w:val="FF0000"/>
        </w:rPr>
        <w:drawing>
          <wp:inline distT="0" distB="0" distL="0" distR="0" wp14:anchorId="70F84001" wp14:editId="5A079412">
            <wp:extent cx="2834640" cy="4334256"/>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71EFD96" w14:textId="6F197BEE" w:rsidR="00EC1924" w:rsidRPr="00E82906" w:rsidRDefault="00EC1924" w:rsidP="00EC1924">
      <w:pPr>
        <w:pStyle w:val="Caption"/>
        <w:rPr>
          <w:lang w:val="en"/>
        </w:rPr>
      </w:pPr>
      <w:bookmarkStart w:id="72" w:name="_Toc17201296"/>
      <w:r>
        <w:t xml:space="preserve">Figure IX.A.27. </w:t>
      </w:r>
      <w:fldSimple w:instr=" SEQ Figure_IX.A.27. \* ARABIC ">
        <w:r w:rsidR="00C012A9">
          <w:rPr>
            <w:noProof/>
          </w:rPr>
          <w:t>10</w:t>
        </w:r>
      </w:fldSimple>
      <w:r w:rsidRPr="00EC1924">
        <w:t xml:space="preserve"> </w:t>
      </w:r>
      <w:r w:rsidRPr="00E82906">
        <w:t>a) Measured and b) Modeled Chemical Composition of PM</w:t>
      </w:r>
      <w:r w:rsidRPr="001468FF">
        <w:rPr>
          <w:vertAlign w:val="subscript"/>
        </w:rPr>
        <w:t>2.5</w:t>
      </w:r>
      <w:r w:rsidRPr="00E82906">
        <w:t xml:space="preserve"> in ug/m</w:t>
      </w:r>
      <w:r w:rsidRPr="001468FF">
        <w:rPr>
          <w:vertAlign w:val="superscript"/>
        </w:rPr>
        <w:t>3</w:t>
      </w:r>
      <w:r w:rsidRPr="00E82906">
        <w:t xml:space="preserve"> and % of PM</w:t>
      </w:r>
      <w:r w:rsidRPr="001468FF">
        <w:rPr>
          <w:vertAlign w:val="subscript"/>
        </w:rPr>
        <w:t>2.5</w:t>
      </w:r>
      <w:r w:rsidRPr="001468FF">
        <w:t xml:space="preserve"> </w:t>
      </w:r>
      <w:r w:rsidRPr="00E82906">
        <w:t>at Lindon in the Provo NAA on February 12, 2016</w:t>
      </w:r>
      <w:bookmarkEnd w:id="72"/>
    </w:p>
    <w:p w14:paraId="70C67431" w14:textId="6207E1A7" w:rsidR="00E82906" w:rsidRDefault="00E82906" w:rsidP="00EC1924">
      <w:pPr>
        <w:pStyle w:val="Caption"/>
      </w:pPr>
    </w:p>
    <w:p w14:paraId="390041FB" w14:textId="5C656EB3" w:rsidR="003D4FD9" w:rsidRPr="00E82906" w:rsidRDefault="003D4FD9" w:rsidP="003D4FD9">
      <w:pPr>
        <w:rPr>
          <w:i/>
          <w:lang w:val="en"/>
        </w:rPr>
      </w:pPr>
      <w:bookmarkStart w:id="73" w:name="_f9a5e2egpua3" w:colFirst="0" w:colLast="0"/>
      <w:bookmarkStart w:id="74" w:name="_Toc522890989"/>
      <w:bookmarkEnd w:id="73"/>
      <w:r w:rsidRPr="00E82906">
        <w:rPr>
          <w:i/>
          <w:lang w:val="en"/>
        </w:rPr>
        <w:t>Conclusion</w:t>
      </w:r>
      <w:bookmarkEnd w:id="74"/>
    </w:p>
    <w:p w14:paraId="71BFCF2E" w14:textId="18E4DD1D" w:rsidR="00EC1924" w:rsidRDefault="00EC1924" w:rsidP="00EC1924">
      <w:pPr>
        <w:rPr>
          <w:color w:val="00B050"/>
          <w:lang w:val="en"/>
        </w:rPr>
      </w:pPr>
      <w:r w:rsidRPr="00EC1924">
        <w:rPr>
          <w:color w:val="00B050"/>
          <w:lang w:val="en"/>
        </w:rPr>
        <w:t>Examining the PM</w:t>
      </w:r>
      <w:r w:rsidRPr="00EC1924">
        <w:rPr>
          <w:color w:val="00B050"/>
          <w:vertAlign w:val="subscript"/>
          <w:lang w:val="en"/>
        </w:rPr>
        <w:t>2.5</w:t>
      </w:r>
      <w:r w:rsidRPr="00EC1924">
        <w:rPr>
          <w:color w:val="00B050"/>
          <w:lang w:val="en"/>
        </w:rPr>
        <w:t xml:space="preserve"> model performance for all three episodes, </w:t>
      </w:r>
      <w:r w:rsidR="003C5A22">
        <w:rPr>
          <w:color w:val="00B050"/>
          <w:lang w:val="en"/>
        </w:rPr>
        <w:t>it is</w:t>
      </w:r>
      <w:r w:rsidRPr="00EC1924">
        <w:rPr>
          <w:color w:val="00B050"/>
          <w:lang w:val="en"/>
        </w:rPr>
        <w:t xml:space="preserve"> clear that </w:t>
      </w:r>
      <w:proofErr w:type="spellStart"/>
      <w:r w:rsidRPr="00EC1924">
        <w:rPr>
          <w:color w:val="00B050"/>
          <w:lang w:val="en"/>
        </w:rPr>
        <w:t>CAMx</w:t>
      </w:r>
      <w:proofErr w:type="spellEnd"/>
      <w:r w:rsidRPr="00EC1924">
        <w:rPr>
          <w:color w:val="00B050"/>
          <w:lang w:val="en"/>
        </w:rPr>
        <w:t xml:space="preserve"> performed best when using the January 2011 WRF output, which was specifically calibrated to the meteorological conditions experienced during January 2011</w:t>
      </w:r>
      <w:r w:rsidR="00290086">
        <w:rPr>
          <w:color w:val="00B050"/>
          <w:lang w:val="en"/>
        </w:rPr>
        <w:t>,</w:t>
      </w:r>
      <w:r w:rsidRPr="00EC1924">
        <w:rPr>
          <w:color w:val="00B050"/>
          <w:lang w:val="en"/>
        </w:rPr>
        <w:t xml:space="preserve"> a period that coincided with an exhaustive field campaign (Persistent Cold Air Pool Study</w:t>
      </w:r>
      <w:r w:rsidR="00EE1623">
        <w:rPr>
          <w:color w:val="00B050"/>
          <w:lang w:val="en"/>
        </w:rPr>
        <w:t xml:space="preserve"> </w:t>
      </w:r>
      <w:r w:rsidR="00EE1623" w:rsidRPr="00EC1924">
        <w:rPr>
          <w:color w:val="00B050"/>
          <w:lang w:val="en"/>
        </w:rPr>
        <w:t>(PCAPS)</w:t>
      </w:r>
      <w:r w:rsidRPr="00EC1924">
        <w:rPr>
          <w:color w:val="00B050"/>
          <w:vertAlign w:val="superscript"/>
          <w:lang w:val="en"/>
        </w:rPr>
        <w:footnoteReference w:id="22"/>
      </w:r>
      <w:r w:rsidRPr="00EC1924">
        <w:rPr>
          <w:color w:val="00B050"/>
          <w:lang w:val="en"/>
        </w:rPr>
        <w:t>). This was further confirmed by a linear regression analysis that showed that modeled and measured PM</w:t>
      </w:r>
      <w:r w:rsidRPr="00EC1924">
        <w:rPr>
          <w:color w:val="00B050"/>
          <w:vertAlign w:val="subscript"/>
          <w:lang w:val="en"/>
        </w:rPr>
        <w:t>2.5</w:t>
      </w:r>
      <w:r w:rsidRPr="00EC1924">
        <w:rPr>
          <w:color w:val="00B050"/>
          <w:lang w:val="en"/>
        </w:rPr>
        <w:t xml:space="preserve"> at Lindon monitoring station were more strongly correlated during the January 2011 episode (R</w:t>
      </w:r>
      <w:r w:rsidRPr="00EC1924">
        <w:rPr>
          <w:color w:val="00B050"/>
          <w:vertAlign w:val="superscript"/>
          <w:lang w:val="en"/>
        </w:rPr>
        <w:t>2</w:t>
      </w:r>
      <w:r w:rsidRPr="00EC1924">
        <w:rPr>
          <w:color w:val="00B050"/>
          <w:lang w:val="en"/>
        </w:rPr>
        <w:t xml:space="preserve"> = 0.89) compared to the other episodes (R</w:t>
      </w:r>
      <w:r w:rsidRPr="00EC1924">
        <w:rPr>
          <w:color w:val="00B050"/>
          <w:vertAlign w:val="superscript"/>
          <w:lang w:val="en"/>
        </w:rPr>
        <w:t xml:space="preserve">2 </w:t>
      </w:r>
      <w:r w:rsidRPr="00EC1924">
        <w:rPr>
          <w:color w:val="00B050"/>
          <w:lang w:val="en"/>
        </w:rPr>
        <w:t>= 0.05 and 0.81) (</w:t>
      </w:r>
      <w:r w:rsidRPr="008537E2">
        <w:rPr>
          <w:color w:val="00B050"/>
          <w:lang w:val="en"/>
        </w:rPr>
        <w:t xml:space="preserve">Figure </w:t>
      </w:r>
      <w:r w:rsidR="008537E2" w:rsidRPr="008537E2">
        <w:rPr>
          <w:color w:val="00B050"/>
          <w:lang w:val="en"/>
        </w:rPr>
        <w:t>IX.A.27.11</w:t>
      </w:r>
      <w:r w:rsidRPr="00EC1924">
        <w:rPr>
          <w:color w:val="00B050"/>
          <w:lang w:val="en"/>
        </w:rPr>
        <w:t>). They also displayed a slope that is close to unity (0.87) for the January 2011 episode, further indicating their close agreement and good model performance when using the 2011 WRF output.</w:t>
      </w:r>
    </w:p>
    <w:p w14:paraId="6EAF92B5" w14:textId="77777777" w:rsidR="008437DB" w:rsidRPr="00461C38" w:rsidRDefault="008437DB" w:rsidP="008437DB">
      <w:pPr>
        <w:rPr>
          <w:lang w:val="en"/>
        </w:rPr>
      </w:pPr>
    </w:p>
    <w:p w14:paraId="406DA98B" w14:textId="77777777" w:rsidR="004F52D6" w:rsidRDefault="008437DB" w:rsidP="004F52D6">
      <w:pPr>
        <w:keepNext/>
      </w:pPr>
      <w:r w:rsidRPr="00461C38">
        <w:rPr>
          <w:noProof/>
        </w:rPr>
        <w:drawing>
          <wp:inline distT="0" distB="0" distL="0" distR="0" wp14:anchorId="5E95B545" wp14:editId="3057F654">
            <wp:extent cx="2926080" cy="2926080"/>
            <wp:effectExtent l="0" t="0" r="20320" b="20320"/>
            <wp:docPr id="27" name="Chart 27">
              <a:extLst xmlns:a="http://schemas.openxmlformats.org/drawingml/2006/main">
                <a:ext uri="{FF2B5EF4-FFF2-40B4-BE49-F238E27FC236}">
                  <a16:creationId xmlns:a16="http://schemas.microsoft.com/office/drawing/2014/main" id="{1A87E131-CB18-4AE2-BAEF-6F390F7708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461C38">
        <w:rPr>
          <w:noProof/>
        </w:rPr>
        <w:drawing>
          <wp:inline distT="0" distB="0" distL="0" distR="0" wp14:anchorId="3991BB53" wp14:editId="26CC2B95">
            <wp:extent cx="2926080" cy="2926080"/>
            <wp:effectExtent l="0" t="0" r="20320" b="20320"/>
            <wp:docPr id="15" name="Chart 15">
              <a:extLst xmlns:a="http://schemas.openxmlformats.org/drawingml/2006/main">
                <a:ext uri="{FF2B5EF4-FFF2-40B4-BE49-F238E27FC236}">
                  <a16:creationId xmlns:a16="http://schemas.microsoft.com/office/drawing/2014/main" id="{B8A18ED6-241D-48AD-BC6F-1B168B7DC1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461C38">
        <w:rPr>
          <w:noProof/>
        </w:rPr>
        <w:drawing>
          <wp:inline distT="0" distB="0" distL="0" distR="0" wp14:anchorId="01B0B119" wp14:editId="7286C7DF">
            <wp:extent cx="3017520" cy="3017520"/>
            <wp:effectExtent l="0" t="0" r="5080" b="5080"/>
            <wp:docPr id="28" name="Chart 28">
              <a:extLst xmlns:a="http://schemas.openxmlformats.org/drawingml/2006/main">
                <a:ext uri="{FF2B5EF4-FFF2-40B4-BE49-F238E27FC236}">
                  <a16:creationId xmlns:a16="http://schemas.microsoft.com/office/drawing/2014/main" id="{44A57D9F-261A-4693-8653-6322811DCF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A7FA84C" w14:textId="00FF43E0" w:rsidR="004F52D6" w:rsidRPr="004F52D6" w:rsidRDefault="004F52D6" w:rsidP="004F52D6">
      <w:pPr>
        <w:pStyle w:val="Caption"/>
        <w:rPr>
          <w:color w:val="0070C0"/>
          <w:highlight w:val="green"/>
          <w:lang w:val="en"/>
        </w:rPr>
      </w:pPr>
      <w:bookmarkStart w:id="75" w:name="_Toc17201297"/>
      <w:r>
        <w:t xml:space="preserve">Figure IX.A.27. </w:t>
      </w:r>
      <w:fldSimple w:instr=" SEQ Figure_IX.A.27. \* ARABIC ">
        <w:r w:rsidR="00C012A9">
          <w:rPr>
            <w:noProof/>
          </w:rPr>
          <w:t>11</w:t>
        </w:r>
      </w:fldSimple>
      <w:r>
        <w:t xml:space="preserve"> Modeled vs. Measured 24-hr PM</w:t>
      </w:r>
      <w:r>
        <w:rPr>
          <w:vertAlign w:val="subscript"/>
        </w:rPr>
        <w:t>2.5</w:t>
      </w:r>
      <w:r>
        <w:t xml:space="preserve"> at Lindon Monitoring Station for Each of </w:t>
      </w:r>
      <w:r w:rsidRPr="004F52D6">
        <w:t>the Three Modeling Episodes: January 2011, December 2013</w:t>
      </w:r>
      <w:r w:rsidR="00CC4AE6">
        <w:t>,</w:t>
      </w:r>
      <w:r w:rsidRPr="004F52D6">
        <w:t xml:space="preserve"> and February 2016. Dots represent each individual day of the modeling episode. Linear regression fits (dashed line) and equation are shown for each episode.</w:t>
      </w:r>
      <w:bookmarkEnd w:id="75"/>
    </w:p>
    <w:p w14:paraId="609C131A" w14:textId="0960770D" w:rsidR="008437DB" w:rsidRDefault="008437DB" w:rsidP="004F52D6">
      <w:pPr>
        <w:pStyle w:val="Caption"/>
      </w:pPr>
    </w:p>
    <w:p w14:paraId="4B672BAF" w14:textId="3A730222" w:rsidR="00063153" w:rsidRPr="00063153" w:rsidRDefault="00063153" w:rsidP="00063153">
      <w:pPr>
        <w:rPr>
          <w:color w:val="00B050"/>
        </w:rPr>
      </w:pPr>
      <w:r w:rsidRPr="00063153">
        <w:rPr>
          <w:color w:val="00B050"/>
          <w:lang w:val="en"/>
        </w:rPr>
        <w:t xml:space="preserve">Given that the January 2011 WRF data produced superior model performance when compared with the other two episodes, UDAQ selected the January 2011 episode to conduct its modeled maintenance demonstration work.  A more thorough discussion is provided in the </w:t>
      </w:r>
      <w:r w:rsidR="002C4994">
        <w:rPr>
          <w:color w:val="00B050"/>
          <w:lang w:val="en"/>
        </w:rPr>
        <w:t>TSD</w:t>
      </w:r>
      <w:r w:rsidRPr="00063153">
        <w:rPr>
          <w:color w:val="00B050"/>
          <w:lang w:val="en"/>
        </w:rPr>
        <w:t>.</w:t>
      </w:r>
    </w:p>
    <w:p w14:paraId="6135F973" w14:textId="77777777" w:rsidR="008437DB" w:rsidRPr="00EC1924" w:rsidRDefault="008437DB" w:rsidP="00EC1924">
      <w:pPr>
        <w:rPr>
          <w:color w:val="00B050"/>
          <w:lang w:val="en"/>
        </w:rPr>
      </w:pPr>
    </w:p>
    <w:p w14:paraId="255866CE" w14:textId="77777777" w:rsidR="004F52D6" w:rsidRDefault="004F52D6" w:rsidP="00321AD9"/>
    <w:p w14:paraId="1802ABA2" w14:textId="7472E2F8" w:rsidR="00352C95" w:rsidRPr="005303E7" w:rsidRDefault="00063153" w:rsidP="00847F69">
      <w:pPr>
        <w:pStyle w:val="Heading3"/>
        <w:numPr>
          <w:ilvl w:val="0"/>
          <w:numId w:val="0"/>
        </w:numPr>
        <w:ind w:left="720" w:hanging="360"/>
        <w:rPr>
          <w:lang w:val="en"/>
        </w:rPr>
      </w:pPr>
      <w:r w:rsidRPr="00C82B28">
        <w:t xml:space="preserve"> </w:t>
      </w:r>
      <w:bookmarkStart w:id="76" w:name="_Toc17201205"/>
      <w:r w:rsidR="005303E7" w:rsidRPr="00C82B28">
        <w:t>(</w:t>
      </w:r>
      <w:r w:rsidR="005303E7">
        <w:t>c</w:t>
      </w:r>
      <w:r w:rsidR="005303E7" w:rsidRPr="00C82B28">
        <w:t xml:space="preserve">) Photochemical </w:t>
      </w:r>
      <w:r w:rsidR="005303E7" w:rsidRPr="005303E7">
        <w:rPr>
          <w:lang w:val="en"/>
        </w:rPr>
        <w:t>Model Performance Evaluation</w:t>
      </w:r>
      <w:bookmarkEnd w:id="76"/>
    </w:p>
    <w:p w14:paraId="5B07F13B" w14:textId="77777777" w:rsidR="005303E7" w:rsidRPr="00B337F6" w:rsidRDefault="005303E7" w:rsidP="005303E7">
      <w:pPr>
        <w:rPr>
          <w:i/>
          <w:lang w:val="en"/>
        </w:rPr>
      </w:pPr>
      <w:r w:rsidRPr="00B337F6">
        <w:rPr>
          <w:i/>
          <w:lang w:val="en"/>
        </w:rPr>
        <w:t>Introduction</w:t>
      </w:r>
    </w:p>
    <w:p w14:paraId="5ABE4012" w14:textId="43BAA2B6" w:rsidR="005303E7" w:rsidRPr="00C32A8D" w:rsidRDefault="005303E7" w:rsidP="005303E7">
      <w:pPr>
        <w:rPr>
          <w:lang w:val="en"/>
        </w:rPr>
      </w:pPr>
      <w:bookmarkStart w:id="77" w:name="_Hlk15989265"/>
      <w:r w:rsidRPr="00C32A8D">
        <w:rPr>
          <w:lang w:val="en"/>
        </w:rPr>
        <w:t>To assess how accurately the photochemical model predicts observed concentrations and to demonstrate that the model can reliably predict the change in pollution levels in response to changes in emissions, a model performance evaluation was conducted. This model performance evaluation also provides support for the model modifications</w:t>
      </w:r>
      <w:r w:rsidR="00EE1623">
        <w:rPr>
          <w:lang w:val="en"/>
        </w:rPr>
        <w:t xml:space="preserve"> and settings</w:t>
      </w:r>
      <w:r w:rsidRPr="00C32A8D">
        <w:rPr>
          <w:lang w:val="en"/>
        </w:rPr>
        <w:t xml:space="preserve"> that were </w:t>
      </w:r>
      <w:r w:rsidR="00EE1623">
        <w:rPr>
          <w:lang w:val="en"/>
        </w:rPr>
        <w:t>appli</w:t>
      </w:r>
      <w:r w:rsidR="00EE1623" w:rsidRPr="00C32A8D">
        <w:rPr>
          <w:lang w:val="en"/>
        </w:rPr>
        <w:t xml:space="preserve">ed </w:t>
      </w:r>
      <w:r w:rsidRPr="00C32A8D">
        <w:t>(ammonia injection, increase of surface resistance to ammonia, zeroing-out of ozone deposition velocity, reduction of c</w:t>
      </w:r>
      <w:r w:rsidR="00013FE8" w:rsidRPr="00C32A8D">
        <w:t>loud</w:t>
      </w:r>
      <w:r w:rsidRPr="00C32A8D">
        <w:t xml:space="preserve">-water content, snow albedo enhancement, vertical diffusion modifications and paved road dust emissions adjustment) </w:t>
      </w:r>
      <w:r w:rsidRPr="00C32A8D">
        <w:rPr>
          <w:lang w:val="en"/>
        </w:rPr>
        <w:t>to more accurately reproduce winter-time inversion episodes. A detailed explanation of these model modifications is provided in the TSD.</w:t>
      </w:r>
    </w:p>
    <w:p w14:paraId="4FACD1FF" w14:textId="70C89653" w:rsidR="005303E7" w:rsidRPr="0051546D" w:rsidRDefault="005303E7" w:rsidP="00747F85">
      <w:pPr>
        <w:rPr>
          <w:lang w:val="en"/>
        </w:rPr>
      </w:pPr>
      <w:bookmarkStart w:id="78" w:name="_Hlk15989302"/>
      <w:bookmarkEnd w:id="77"/>
      <w:r w:rsidRPr="005303E7">
        <w:t xml:space="preserve">Available ambient monitoring data were used for this photochemical model performance evaluation. Data included 24-hr total </w:t>
      </w:r>
      <w:r w:rsidRPr="00321AD9">
        <w:rPr>
          <w:lang w:val="en"/>
        </w:rPr>
        <w:t>PM</w:t>
      </w:r>
      <w:r w:rsidRPr="00321AD9">
        <w:rPr>
          <w:vertAlign w:val="subscript"/>
          <w:lang w:val="en"/>
        </w:rPr>
        <w:t>2.5</w:t>
      </w:r>
      <w:r w:rsidRPr="005303E7">
        <w:t xml:space="preserve"> and 24-hr chemically-speciated </w:t>
      </w:r>
      <w:r w:rsidRPr="00321AD9">
        <w:rPr>
          <w:lang w:val="en"/>
        </w:rPr>
        <w:t>PM</w:t>
      </w:r>
      <w:r w:rsidRPr="00321AD9">
        <w:rPr>
          <w:vertAlign w:val="subscript"/>
          <w:lang w:val="en"/>
        </w:rPr>
        <w:t>2.5</w:t>
      </w:r>
      <w:r w:rsidRPr="005303E7">
        <w:t xml:space="preserve"> measurements collected at</w:t>
      </w:r>
      <w:r w:rsidR="00BE5E7E">
        <w:t xml:space="preserve"> the</w:t>
      </w:r>
      <w:r w:rsidRPr="005303E7">
        <w:t xml:space="preserve"> </w:t>
      </w:r>
      <w:r w:rsidRPr="00123D4E">
        <w:rPr>
          <w:color w:val="00B050"/>
        </w:rPr>
        <w:t>Lindon</w:t>
      </w:r>
      <w:r w:rsidRPr="005303E7">
        <w:t xml:space="preserve"> monitoring station in </w:t>
      </w:r>
      <w:r w:rsidRPr="0051546D">
        <w:t xml:space="preserve">the </w:t>
      </w:r>
      <w:r w:rsidRPr="0051546D">
        <w:rPr>
          <w:color w:val="00B050"/>
        </w:rPr>
        <w:t xml:space="preserve">Provo </w:t>
      </w:r>
      <w:r w:rsidR="0050290B" w:rsidRPr="0051546D">
        <w:rPr>
          <w:color w:val="00B050"/>
        </w:rPr>
        <w:t>NAA</w:t>
      </w:r>
      <w:bookmarkEnd w:id="78"/>
      <w:r w:rsidR="0051546D" w:rsidRPr="0051546D">
        <w:rPr>
          <w:color w:val="00B050"/>
        </w:rPr>
        <w:t>.</w:t>
      </w:r>
      <w:r w:rsidRPr="0051546D">
        <w:rPr>
          <w:color w:val="4F81BD" w:themeColor="accent1"/>
        </w:rPr>
        <w:t xml:space="preserve"> </w:t>
      </w:r>
      <w:bookmarkStart w:id="79" w:name="_Hlk15989346"/>
      <w:r w:rsidRPr="0051546D">
        <w:t>The</w:t>
      </w:r>
      <w:r w:rsidRPr="005303E7">
        <w:t xml:space="preserve"> evaluation was based on the December 31-January 10, 2011</w:t>
      </w:r>
      <w:r w:rsidR="00CC4AE6">
        <w:t>,</w:t>
      </w:r>
      <w:r w:rsidRPr="005303E7">
        <w:t xml:space="preserve"> episode and the 2011 emissions inventory </w:t>
      </w:r>
      <w:r w:rsidR="00CC4AE6" w:rsidRPr="005303E7">
        <w:t>were</w:t>
      </w:r>
      <w:r w:rsidRPr="005303E7">
        <w:t xml:space="preserve"> used as input data for the model simulations. The evaluation focused on days with </w:t>
      </w:r>
      <w:r w:rsidRPr="005303E7">
        <w:rPr>
          <w:lang w:val="en"/>
        </w:rPr>
        <w:t>PM</w:t>
      </w:r>
      <w:r w:rsidRPr="005303E7">
        <w:rPr>
          <w:vertAlign w:val="subscript"/>
          <w:lang w:val="en"/>
        </w:rPr>
        <w:t>2.5</w:t>
      </w:r>
      <w:r w:rsidRPr="005303E7">
        <w:t xml:space="preserve"> concentration exceeding the </w:t>
      </w:r>
      <w:r w:rsidR="00BE5E7E">
        <w:t>NAAQS</w:t>
      </w:r>
      <w:r w:rsidRPr="005303E7">
        <w:t xml:space="preserve"> (&gt; 35 µg/m</w:t>
      </w:r>
      <w:r w:rsidRPr="005303E7">
        <w:rPr>
          <w:vertAlign w:val="superscript"/>
        </w:rPr>
        <w:t>3</w:t>
      </w:r>
      <w:r w:rsidRPr="005303E7">
        <w:t xml:space="preserve">). Results for December 31, which is </w:t>
      </w:r>
      <w:r w:rsidRPr="0051546D">
        <w:t xml:space="preserve">a model spin-up day, are excluded from this evaluation. </w:t>
      </w:r>
    </w:p>
    <w:p w14:paraId="34010D36" w14:textId="30152BAB" w:rsidR="005303E7" w:rsidRPr="00747F85" w:rsidRDefault="005303E7" w:rsidP="00747F85">
      <w:pPr>
        <w:rPr>
          <w:rFonts w:cs="Times New Roman"/>
          <w:lang w:val="en"/>
        </w:rPr>
      </w:pPr>
      <w:bookmarkStart w:id="80" w:name="_Hlk15989399"/>
      <w:bookmarkEnd w:id="79"/>
      <w:r w:rsidRPr="00747F85">
        <w:rPr>
          <w:rFonts w:cs="Times New Roman"/>
          <w:lang w:val="en"/>
        </w:rPr>
        <w:t xml:space="preserve">A more detailed model performance evaluation that examines the model performance for gaseous species is provided in the TSD. More details on the model performance at various sites within the </w:t>
      </w:r>
      <w:r w:rsidRPr="00747F85">
        <w:rPr>
          <w:rFonts w:cs="Times New Roman"/>
          <w:color w:val="00B050"/>
          <w:lang w:val="en"/>
        </w:rPr>
        <w:t xml:space="preserve">Provo </w:t>
      </w:r>
      <w:r w:rsidR="00747F85" w:rsidRPr="00747F85">
        <w:rPr>
          <w:rFonts w:cs="Times New Roman"/>
          <w:color w:val="00B050"/>
          <w:lang w:val="en"/>
        </w:rPr>
        <w:t>NAA</w:t>
      </w:r>
      <w:r w:rsidRPr="00747F85">
        <w:rPr>
          <w:rFonts w:cs="Times New Roman"/>
          <w:lang w:val="en"/>
        </w:rPr>
        <w:t xml:space="preserve"> are also included in the TSD. </w:t>
      </w:r>
    </w:p>
    <w:p w14:paraId="2764A7D6" w14:textId="77777777" w:rsidR="005303E7" w:rsidRPr="00395437" w:rsidRDefault="005303E7" w:rsidP="005303E7">
      <w:pPr>
        <w:rPr>
          <w:i/>
          <w:lang w:val="en"/>
        </w:rPr>
      </w:pPr>
      <w:bookmarkStart w:id="81" w:name="_lnxbz9" w:colFirst="0" w:colLast="0"/>
      <w:bookmarkEnd w:id="80"/>
      <w:bookmarkEnd w:id="81"/>
      <w:r w:rsidRPr="00395437">
        <w:rPr>
          <w:i/>
          <w:lang w:val="en"/>
        </w:rPr>
        <w:t>Daily PM</w:t>
      </w:r>
      <w:r w:rsidRPr="00395437">
        <w:rPr>
          <w:i/>
          <w:vertAlign w:val="subscript"/>
          <w:lang w:val="en"/>
        </w:rPr>
        <w:t>2.5</w:t>
      </w:r>
      <w:r w:rsidRPr="00395437">
        <w:rPr>
          <w:i/>
          <w:lang w:val="en"/>
        </w:rPr>
        <w:t xml:space="preserve"> Concentrations</w:t>
      </w:r>
    </w:p>
    <w:p w14:paraId="5B8780B3" w14:textId="0375C8FE" w:rsidR="005303E7" w:rsidRPr="00DB10B5" w:rsidRDefault="005303E7" w:rsidP="005303E7">
      <w:pPr>
        <w:rPr>
          <w:rFonts w:cs="Times New Roman"/>
          <w:color w:val="00B050"/>
        </w:rPr>
      </w:pPr>
      <w:bookmarkStart w:id="82" w:name="OLE_LINK18"/>
      <w:r w:rsidRPr="00DB10B5">
        <w:rPr>
          <w:rFonts w:cs="Times New Roman"/>
          <w:color w:val="00B050"/>
          <w:lang w:val="en"/>
        </w:rPr>
        <w:t>A comparison of</w:t>
      </w:r>
      <w:r w:rsidRPr="00DB10B5">
        <w:rPr>
          <w:rFonts w:cs="Times New Roman"/>
          <w:b/>
          <w:color w:val="00B050"/>
          <w:lang w:val="en"/>
        </w:rPr>
        <w:t xml:space="preserve"> </w:t>
      </w:r>
      <w:r w:rsidRPr="00DB10B5">
        <w:rPr>
          <w:rFonts w:cs="Times New Roman"/>
          <w:color w:val="00B050"/>
          <w:lang w:val="en"/>
        </w:rPr>
        <w:t>24-hr modeled and observed PM</w:t>
      </w:r>
      <w:r w:rsidRPr="00DB10B5">
        <w:rPr>
          <w:rFonts w:cs="Times New Roman"/>
          <w:color w:val="00B050"/>
          <w:vertAlign w:val="subscript"/>
          <w:lang w:val="en"/>
        </w:rPr>
        <w:t>2.5</w:t>
      </w:r>
      <w:r w:rsidRPr="00DB10B5">
        <w:rPr>
          <w:rFonts w:cs="Times New Roman"/>
          <w:color w:val="00B050"/>
          <w:lang w:val="en"/>
        </w:rPr>
        <w:t xml:space="preserve"> during January 1-10, 2011</w:t>
      </w:r>
      <w:r w:rsidR="00CC4AE6">
        <w:rPr>
          <w:rFonts w:cs="Times New Roman"/>
          <w:color w:val="00B050"/>
          <w:lang w:val="en"/>
        </w:rPr>
        <w:t>,</w:t>
      </w:r>
      <w:r w:rsidRPr="00DB10B5">
        <w:rPr>
          <w:rFonts w:cs="Times New Roman"/>
          <w:color w:val="00B050"/>
          <w:lang w:val="en"/>
        </w:rPr>
        <w:t xml:space="preserve"> at the Lindon monitoring station in the Provo non-attainment area showed that </w:t>
      </w:r>
      <w:r w:rsidRPr="00DB10B5">
        <w:rPr>
          <w:rFonts w:cs="Times New Roman"/>
          <w:color w:val="00B050"/>
        </w:rPr>
        <w:t>the model overall captures</w:t>
      </w:r>
      <w:r w:rsidR="003A266D">
        <w:rPr>
          <w:rFonts w:cs="Times New Roman"/>
          <w:color w:val="00B050"/>
        </w:rPr>
        <w:t xml:space="preserve"> </w:t>
      </w:r>
      <w:r w:rsidRPr="00DB10B5">
        <w:rPr>
          <w:rFonts w:cs="Times New Roman"/>
          <w:color w:val="00B050"/>
        </w:rPr>
        <w:t xml:space="preserve">the temporal variation in </w:t>
      </w:r>
      <w:r w:rsidR="00395437" w:rsidRPr="00DB10B5">
        <w:rPr>
          <w:color w:val="00B050"/>
          <w:lang w:val="en"/>
        </w:rPr>
        <w:t>PM</w:t>
      </w:r>
      <w:r w:rsidR="00395437" w:rsidRPr="00DB10B5">
        <w:rPr>
          <w:color w:val="00B050"/>
          <w:vertAlign w:val="subscript"/>
          <w:lang w:val="en"/>
        </w:rPr>
        <w:t>2.5</w:t>
      </w:r>
      <w:r w:rsidRPr="00DB10B5">
        <w:rPr>
          <w:rFonts w:cs="Times New Roman"/>
          <w:color w:val="00B050"/>
        </w:rPr>
        <w:t xml:space="preserve"> </w:t>
      </w:r>
      <w:r w:rsidR="003A266D">
        <w:rPr>
          <w:rFonts w:cs="Times New Roman"/>
          <w:color w:val="00B050"/>
        </w:rPr>
        <w:t xml:space="preserve">well </w:t>
      </w:r>
      <w:r w:rsidRPr="00DB10B5">
        <w:rPr>
          <w:rFonts w:cs="Times New Roman"/>
          <w:color w:val="00B050"/>
        </w:rPr>
        <w:t xml:space="preserve">(Figure </w:t>
      </w:r>
      <w:r w:rsidR="008537E2">
        <w:rPr>
          <w:rFonts w:cs="Times New Roman"/>
          <w:color w:val="00B050"/>
        </w:rPr>
        <w:t>IX.A.27.12</w:t>
      </w:r>
      <w:r w:rsidRPr="00DB10B5">
        <w:rPr>
          <w:rFonts w:cs="Times New Roman"/>
          <w:color w:val="00B050"/>
        </w:rPr>
        <w:t xml:space="preserve">). The gradual increase in </w:t>
      </w:r>
      <w:r w:rsidR="00395437" w:rsidRPr="00DB10B5">
        <w:rPr>
          <w:color w:val="00B050"/>
          <w:lang w:val="en"/>
        </w:rPr>
        <w:t>PM</w:t>
      </w:r>
      <w:r w:rsidR="00395437" w:rsidRPr="00DB10B5">
        <w:rPr>
          <w:color w:val="00B050"/>
          <w:vertAlign w:val="subscript"/>
          <w:lang w:val="en"/>
        </w:rPr>
        <w:t>2.5</w:t>
      </w:r>
      <w:r w:rsidRPr="00DB10B5">
        <w:rPr>
          <w:rFonts w:cs="Times New Roman"/>
          <w:color w:val="00B050"/>
        </w:rPr>
        <w:t xml:space="preserve"> concentration and its transition back to low levels are generally well reproduced by the model. Moreover, the bias between measured and modeled </w:t>
      </w:r>
      <w:r w:rsidR="00395437" w:rsidRPr="00DB10B5">
        <w:rPr>
          <w:color w:val="00B050"/>
          <w:lang w:val="en"/>
        </w:rPr>
        <w:t>PM</w:t>
      </w:r>
      <w:r w:rsidR="00395437" w:rsidRPr="00DB10B5">
        <w:rPr>
          <w:color w:val="00B050"/>
          <w:vertAlign w:val="subscript"/>
          <w:lang w:val="en"/>
        </w:rPr>
        <w:t>2.5</w:t>
      </w:r>
      <w:r w:rsidRPr="00DB10B5">
        <w:rPr>
          <w:rFonts w:cs="Times New Roman"/>
          <w:color w:val="00B050"/>
        </w:rPr>
        <w:t xml:space="preserve"> is overall relatively small, particularly on </w:t>
      </w:r>
      <w:r w:rsidR="00395437" w:rsidRPr="00DB10B5">
        <w:rPr>
          <w:color w:val="00B050"/>
          <w:lang w:val="en"/>
        </w:rPr>
        <w:t>PM</w:t>
      </w:r>
      <w:r w:rsidR="00395437" w:rsidRPr="00DB10B5">
        <w:rPr>
          <w:color w:val="00B050"/>
          <w:vertAlign w:val="subscript"/>
          <w:lang w:val="en"/>
        </w:rPr>
        <w:t>2.5</w:t>
      </w:r>
      <w:r w:rsidRPr="00DB10B5">
        <w:rPr>
          <w:rFonts w:cs="Times New Roman"/>
          <w:color w:val="00B050"/>
        </w:rPr>
        <w:t xml:space="preserve"> exceedance days. </w:t>
      </w:r>
    </w:p>
    <w:bookmarkEnd w:id="82"/>
    <w:p w14:paraId="25D59A17" w14:textId="77777777" w:rsidR="002C4994" w:rsidRDefault="005303E7" w:rsidP="002C4994">
      <w:pPr>
        <w:keepNext/>
      </w:pPr>
      <w:r>
        <w:rPr>
          <w:noProof/>
        </w:rPr>
        <w:drawing>
          <wp:inline distT="0" distB="0" distL="0" distR="0" wp14:anchorId="40E0A0A4" wp14:editId="047F85DA">
            <wp:extent cx="5029200" cy="2103120"/>
            <wp:effectExtent l="0" t="0" r="0" b="5080"/>
            <wp:docPr id="18" name="Picture 18" descr="https://lh5.googleusercontent.com/vLPEEnJHBNbiVzp3aM3T8uz9elHRHRMG2VSIubp33Zu6a9IiXHRrx1El8fznZOtxFK9mZJMtDjvpiUM31DjbATpGROyQnVIca_e5M1bbR2GEF0ZTRhpVIrsunVQXF7pPQzFmRKLBH1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vLPEEnJHBNbiVzp3aM3T8uz9elHRHRMG2VSIubp33Zu6a9IiXHRrx1El8fznZOtxFK9mZJMtDjvpiUM31DjbATpGROyQnVIca_e5M1bbR2GEF0ZTRhpVIrsunVQXF7pPQzFmRKLBH1I"/>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29200" cy="2103120"/>
                    </a:xfrm>
                    <a:prstGeom prst="rect">
                      <a:avLst/>
                    </a:prstGeom>
                    <a:noFill/>
                    <a:ln>
                      <a:noFill/>
                    </a:ln>
                  </pic:spPr>
                </pic:pic>
              </a:graphicData>
            </a:graphic>
          </wp:inline>
        </w:drawing>
      </w:r>
    </w:p>
    <w:p w14:paraId="424D758F" w14:textId="449864D0" w:rsidR="00395437" w:rsidRDefault="002C4994" w:rsidP="002C4994">
      <w:pPr>
        <w:pStyle w:val="Caption"/>
      </w:pPr>
      <w:bookmarkStart w:id="83" w:name="_Toc17201298"/>
      <w:r>
        <w:t xml:space="preserve">Figure IX.A.27. </w:t>
      </w:r>
      <w:fldSimple w:instr=" SEQ Figure_IX.A.27. \* ARABIC ">
        <w:r w:rsidR="00C012A9">
          <w:rPr>
            <w:noProof/>
          </w:rPr>
          <w:t>12</w:t>
        </w:r>
      </w:fldSimple>
      <w:bookmarkStart w:id="84" w:name="_Hlk15989559"/>
      <w:r w:rsidRPr="002C4994">
        <w:t xml:space="preserve"> </w:t>
      </w:r>
      <w:r w:rsidRPr="00DB10B5">
        <w:t>Ten-day Time Series of Observed (black) and Modeled (red) 24-hr Average PM</w:t>
      </w:r>
      <w:r w:rsidR="00485BC6">
        <w:rPr>
          <w:vertAlign w:val="subscript"/>
        </w:rPr>
        <w:t>2.5</w:t>
      </w:r>
      <w:r w:rsidRPr="00DB10B5">
        <w:t xml:space="preserve"> Concentrations During January 1-10, 2011 at Lindon Monitoring Station in the Provo NAA. Dashed Red Line is NAAQS</w:t>
      </w:r>
      <w:bookmarkEnd w:id="84"/>
      <w:r w:rsidR="00EE1623">
        <w:t xml:space="preserve"> for 24-hr PM</w:t>
      </w:r>
      <w:r w:rsidR="006C7AA8">
        <w:rPr>
          <w:vertAlign w:val="subscript"/>
        </w:rPr>
        <w:t>2.5</w:t>
      </w:r>
      <w:r w:rsidR="00EE1623">
        <w:t>.</w:t>
      </w:r>
      <w:bookmarkEnd w:id="83"/>
    </w:p>
    <w:p w14:paraId="67096857" w14:textId="77777777" w:rsidR="00395437" w:rsidRDefault="00395437" w:rsidP="005303E7">
      <w:pPr>
        <w:rPr>
          <w:b/>
          <w:color w:val="4F81BD" w:themeColor="accent1"/>
          <w:lang w:val="en"/>
        </w:rPr>
      </w:pPr>
      <w:bookmarkStart w:id="85" w:name="_35nkun2" w:colFirst="0" w:colLast="0"/>
      <w:bookmarkEnd w:id="85"/>
    </w:p>
    <w:p w14:paraId="633B1960" w14:textId="4DF26494" w:rsidR="005303E7" w:rsidRPr="00395437" w:rsidRDefault="005303E7" w:rsidP="005303E7">
      <w:pPr>
        <w:rPr>
          <w:i/>
          <w:lang w:val="en"/>
        </w:rPr>
      </w:pPr>
      <w:r w:rsidRPr="00395437">
        <w:rPr>
          <w:i/>
          <w:lang w:val="en"/>
        </w:rPr>
        <w:t>PM</w:t>
      </w:r>
      <w:r w:rsidRPr="00395437">
        <w:rPr>
          <w:i/>
          <w:vertAlign w:val="subscript"/>
          <w:lang w:val="en"/>
        </w:rPr>
        <w:t>2.5</w:t>
      </w:r>
      <w:r w:rsidRPr="00395437">
        <w:rPr>
          <w:i/>
          <w:lang w:val="en"/>
        </w:rPr>
        <w:t xml:space="preserve"> Chemical Speciation</w:t>
      </w:r>
    </w:p>
    <w:p w14:paraId="6D496977" w14:textId="5A3BEA9B" w:rsidR="005303E7" w:rsidRPr="00060866" w:rsidRDefault="005303E7" w:rsidP="00060866">
      <w:pPr>
        <w:rPr>
          <w:i/>
          <w:color w:val="00B050"/>
        </w:rPr>
      </w:pPr>
      <w:r w:rsidRPr="00060866">
        <w:rPr>
          <w:color w:val="00B050"/>
          <w:lang w:val="en"/>
        </w:rPr>
        <w:t>The model performance was further evaluated for PM</w:t>
      </w:r>
      <w:r w:rsidRPr="00060866">
        <w:rPr>
          <w:color w:val="00B050"/>
          <w:vertAlign w:val="subscript"/>
          <w:lang w:val="en"/>
        </w:rPr>
        <w:t xml:space="preserve">2.5 </w:t>
      </w:r>
      <w:r w:rsidRPr="00060866">
        <w:rPr>
          <w:color w:val="00B050"/>
          <w:lang w:val="en"/>
        </w:rPr>
        <w:t xml:space="preserve">chemical species. </w:t>
      </w:r>
      <w:r w:rsidRPr="00060866">
        <w:rPr>
          <w:color w:val="00B050"/>
        </w:rPr>
        <w:t xml:space="preserve">Given that measurements of </w:t>
      </w:r>
      <w:r w:rsidR="00DB10B5" w:rsidRPr="00060866">
        <w:rPr>
          <w:color w:val="00B050"/>
          <w:lang w:val="en"/>
        </w:rPr>
        <w:t>PM</w:t>
      </w:r>
      <w:r w:rsidR="00DB10B5" w:rsidRPr="00060866">
        <w:rPr>
          <w:color w:val="00B050"/>
          <w:vertAlign w:val="subscript"/>
          <w:lang w:val="en"/>
        </w:rPr>
        <w:t>2.5</w:t>
      </w:r>
      <w:r w:rsidRPr="00060866">
        <w:rPr>
          <w:color w:val="00B050"/>
        </w:rPr>
        <w:t xml:space="preserve"> chemical species were not available for a </w:t>
      </w:r>
      <w:r w:rsidR="00DB10B5" w:rsidRPr="00060866">
        <w:rPr>
          <w:color w:val="00B050"/>
          <w:lang w:val="en"/>
        </w:rPr>
        <w:t>PM</w:t>
      </w:r>
      <w:r w:rsidR="00DB10B5" w:rsidRPr="00060866">
        <w:rPr>
          <w:color w:val="00B050"/>
          <w:vertAlign w:val="subscript"/>
          <w:lang w:val="en"/>
        </w:rPr>
        <w:t>2.5</w:t>
      </w:r>
      <w:r w:rsidRPr="00060866">
        <w:rPr>
          <w:color w:val="00B050"/>
        </w:rPr>
        <w:t xml:space="preserve"> exceedance day during the selected modeling episode, this analysis is based on a comparison of the fraction of individual PM2.5 chemical species in total </w:t>
      </w:r>
      <w:r w:rsidR="00DB10B5" w:rsidRPr="00060866">
        <w:rPr>
          <w:color w:val="00B050"/>
          <w:lang w:val="en"/>
        </w:rPr>
        <w:t>PM</w:t>
      </w:r>
      <w:r w:rsidR="00DB10B5" w:rsidRPr="00060866">
        <w:rPr>
          <w:color w:val="00B050"/>
          <w:vertAlign w:val="subscript"/>
          <w:lang w:val="en"/>
        </w:rPr>
        <w:t>2.5</w:t>
      </w:r>
      <w:r w:rsidRPr="00060866">
        <w:rPr>
          <w:color w:val="00B050"/>
        </w:rPr>
        <w:t xml:space="preserve"> mass between 2011 model outputs and 2013 measurements. The latter correspond to filter speciation data collected at Lindon during a typical winter-time inversion event in 2013.</w:t>
      </w:r>
      <w:r w:rsidRPr="00060866">
        <w:rPr>
          <w:color w:val="00B050"/>
          <w:lang w:val="en"/>
        </w:rPr>
        <w:t xml:space="preserve"> </w:t>
      </w:r>
      <w:r w:rsidRPr="00060866">
        <w:rPr>
          <w:color w:val="00B050"/>
        </w:rPr>
        <w:t xml:space="preserve">While the 2013 measurements cannot be directly compared to day-specific 2011 model simulations, the measurements are useful to assess if the model predicts similar </w:t>
      </w:r>
      <w:r w:rsidR="00DB10B5" w:rsidRPr="00060866">
        <w:rPr>
          <w:color w:val="00B050"/>
          <w:lang w:val="en"/>
        </w:rPr>
        <w:t>PM</w:t>
      </w:r>
      <w:r w:rsidR="00DB10B5" w:rsidRPr="00060866">
        <w:rPr>
          <w:color w:val="00B050"/>
          <w:vertAlign w:val="subscript"/>
          <w:lang w:val="en"/>
        </w:rPr>
        <w:t>2.5</w:t>
      </w:r>
      <w:r w:rsidRPr="00060866">
        <w:rPr>
          <w:color w:val="00B050"/>
        </w:rPr>
        <w:t xml:space="preserve"> chemical composition during strong inversion conditions. Although the concentration of individual PM2.5 chemical species may vary between inversion events, their relative contribution to total PM2.5 mass is expected to remain the same during typical inversion events. </w:t>
      </w:r>
      <w:r w:rsidRPr="00060866">
        <w:rPr>
          <w:color w:val="00B050"/>
          <w:lang w:val="en"/>
        </w:rPr>
        <w:t>Chemical species</w:t>
      </w:r>
      <w:r w:rsidR="00A14BD2" w:rsidRPr="00A14BD2">
        <w:rPr>
          <w:color w:val="00B050"/>
          <w:lang w:val="en"/>
        </w:rPr>
        <w:t>, including nitrate (NO</w:t>
      </w:r>
      <w:r w:rsidR="00A14BD2" w:rsidRPr="00A14BD2">
        <w:rPr>
          <w:color w:val="00B050"/>
          <w:vertAlign w:val="subscript"/>
          <w:lang w:val="en"/>
        </w:rPr>
        <w:t>3</w:t>
      </w:r>
      <w:r w:rsidR="00A14BD2" w:rsidRPr="00A14BD2">
        <w:rPr>
          <w:color w:val="00B050"/>
          <w:lang w:val="en"/>
        </w:rPr>
        <w:t>), sulfate (SO</w:t>
      </w:r>
      <w:r w:rsidR="00A14BD2" w:rsidRPr="00A14BD2">
        <w:rPr>
          <w:color w:val="00B050"/>
          <w:vertAlign w:val="subscript"/>
          <w:lang w:val="en"/>
        </w:rPr>
        <w:t>4</w:t>
      </w:r>
      <w:r w:rsidR="00A14BD2" w:rsidRPr="00A14BD2">
        <w:rPr>
          <w:color w:val="00B050"/>
          <w:lang w:val="en"/>
        </w:rPr>
        <w:t>), ammonium (NH</w:t>
      </w:r>
      <w:r w:rsidR="00A14BD2" w:rsidRPr="00A14BD2">
        <w:rPr>
          <w:color w:val="00B050"/>
          <w:vertAlign w:val="subscript"/>
          <w:lang w:val="en"/>
        </w:rPr>
        <w:t>4</w:t>
      </w:r>
      <w:r w:rsidR="00A14BD2" w:rsidRPr="00A14BD2">
        <w:rPr>
          <w:color w:val="00B050"/>
          <w:lang w:val="en"/>
        </w:rPr>
        <w:t>), organic carbon (OC), elemental carbon (EC), chloride (Cl), sodium (Na), crustal material (CM)</w:t>
      </w:r>
      <w:r w:rsidR="00CC4AE6">
        <w:rPr>
          <w:color w:val="00B050"/>
          <w:lang w:val="en"/>
        </w:rPr>
        <w:t>,</w:t>
      </w:r>
      <w:r w:rsidR="00A14BD2" w:rsidRPr="00A14BD2">
        <w:rPr>
          <w:color w:val="00B050"/>
          <w:lang w:val="en"/>
        </w:rPr>
        <w:t xml:space="preserve"> and other species (other mass), were considered in this analysis</w:t>
      </w:r>
      <w:r w:rsidRPr="00A14BD2">
        <w:rPr>
          <w:color w:val="00B050"/>
          <w:lang w:val="en"/>
        </w:rPr>
        <w:t xml:space="preserve">. The </w:t>
      </w:r>
      <w:r w:rsidRPr="00060866">
        <w:rPr>
          <w:color w:val="00B050"/>
          <w:lang w:val="en"/>
        </w:rPr>
        <w:t xml:space="preserve">model performance evaluation for </w:t>
      </w:r>
      <w:r w:rsidR="00723FE0" w:rsidRPr="00060866">
        <w:rPr>
          <w:color w:val="00B050"/>
          <w:lang w:val="en"/>
        </w:rPr>
        <w:t>PM</w:t>
      </w:r>
      <w:r w:rsidR="00723FE0" w:rsidRPr="00060866">
        <w:rPr>
          <w:color w:val="00B050"/>
          <w:vertAlign w:val="subscript"/>
          <w:lang w:val="en"/>
        </w:rPr>
        <w:t>2.5</w:t>
      </w:r>
      <w:r w:rsidRPr="00060866">
        <w:rPr>
          <w:color w:val="00B050"/>
          <w:lang w:val="en"/>
        </w:rPr>
        <w:t xml:space="preserve"> species on non-</w:t>
      </w:r>
      <w:r w:rsidR="00723FE0" w:rsidRPr="00060866">
        <w:rPr>
          <w:color w:val="00B050"/>
          <w:lang w:val="en"/>
        </w:rPr>
        <w:t>PM</w:t>
      </w:r>
      <w:r w:rsidR="00723FE0" w:rsidRPr="00060866">
        <w:rPr>
          <w:color w:val="00B050"/>
          <w:vertAlign w:val="subscript"/>
          <w:lang w:val="en"/>
        </w:rPr>
        <w:t>2.5</w:t>
      </w:r>
      <w:r w:rsidRPr="00060866">
        <w:rPr>
          <w:color w:val="00B050"/>
          <w:lang w:val="en"/>
        </w:rPr>
        <w:t xml:space="preserve"> exceedance days is provided in the TSD.</w:t>
      </w:r>
      <w:r w:rsidRPr="00060866">
        <w:rPr>
          <w:i/>
          <w:color w:val="00B050"/>
        </w:rPr>
        <w:t xml:space="preserve"> </w:t>
      </w:r>
    </w:p>
    <w:p w14:paraId="345FE228" w14:textId="47A43146" w:rsidR="005303E7" w:rsidRPr="00060866" w:rsidRDefault="005303E7" w:rsidP="00060866">
      <w:pPr>
        <w:rPr>
          <w:color w:val="00B050"/>
        </w:rPr>
      </w:pPr>
      <w:bookmarkStart w:id="86" w:name="OLE_LINK21"/>
      <w:bookmarkStart w:id="87" w:name="OLE_LINK22"/>
      <w:r w:rsidRPr="00060866">
        <w:rPr>
          <w:color w:val="00B050"/>
        </w:rPr>
        <w:t xml:space="preserve">Figures </w:t>
      </w:r>
      <w:r w:rsidR="00723FE0" w:rsidRPr="00060866">
        <w:rPr>
          <w:color w:val="00B050"/>
        </w:rPr>
        <w:t>IX.A.27.13</w:t>
      </w:r>
      <w:r w:rsidRPr="00060866">
        <w:rPr>
          <w:color w:val="00B050"/>
        </w:rPr>
        <w:t xml:space="preserve"> shows the percent contribution of modeled and measured chemical species to </w:t>
      </w:r>
      <w:r w:rsidR="00723FE0" w:rsidRPr="00060866">
        <w:rPr>
          <w:color w:val="00B050"/>
          <w:lang w:val="en"/>
        </w:rPr>
        <w:t>PM</w:t>
      </w:r>
      <w:r w:rsidR="00723FE0" w:rsidRPr="00060866">
        <w:rPr>
          <w:color w:val="00B050"/>
          <w:vertAlign w:val="subscript"/>
          <w:lang w:val="en"/>
        </w:rPr>
        <w:t>2.5</w:t>
      </w:r>
      <w:r w:rsidRPr="00060866">
        <w:rPr>
          <w:color w:val="00B050"/>
        </w:rPr>
        <w:t xml:space="preserve"> at Lindon monitoring station on a typical 24-hr PM</w:t>
      </w:r>
      <w:r w:rsidR="00074B52" w:rsidRPr="00060866">
        <w:rPr>
          <w:color w:val="00B050"/>
          <w:vertAlign w:val="subscript"/>
        </w:rPr>
        <w:t>2.5</w:t>
      </w:r>
      <w:r w:rsidRPr="00060866">
        <w:rPr>
          <w:color w:val="00B050"/>
        </w:rPr>
        <w:t xml:space="preserve"> exceedance day.</w:t>
      </w:r>
      <w:r w:rsidRPr="00060866">
        <w:rPr>
          <w:i/>
          <w:color w:val="00B050"/>
        </w:rPr>
        <w:t xml:space="preserve"> </w:t>
      </w:r>
      <w:r w:rsidRPr="00060866">
        <w:rPr>
          <w:color w:val="00B050"/>
          <w:lang w:val="en"/>
        </w:rPr>
        <w:t xml:space="preserve"> </w:t>
      </w:r>
      <w:r w:rsidRPr="00060866">
        <w:rPr>
          <w:color w:val="00B050"/>
        </w:rPr>
        <w:t xml:space="preserve">As can be seen, the chemical composition of modeled </w:t>
      </w:r>
      <w:r w:rsidR="00723FE0" w:rsidRPr="00060866">
        <w:rPr>
          <w:color w:val="00B050"/>
          <w:lang w:val="en"/>
        </w:rPr>
        <w:t>PM</w:t>
      </w:r>
      <w:r w:rsidR="00723FE0" w:rsidRPr="00060866">
        <w:rPr>
          <w:color w:val="00B050"/>
          <w:vertAlign w:val="subscript"/>
          <w:lang w:val="en"/>
        </w:rPr>
        <w:t>2.5</w:t>
      </w:r>
      <w:r w:rsidRPr="00060866">
        <w:rPr>
          <w:color w:val="00B050"/>
        </w:rPr>
        <w:t xml:space="preserve"> is similar to that of measured </w:t>
      </w:r>
      <w:r w:rsidR="00723FE0" w:rsidRPr="00060866">
        <w:rPr>
          <w:color w:val="00B050"/>
          <w:lang w:val="en"/>
        </w:rPr>
        <w:t>PM</w:t>
      </w:r>
      <w:r w:rsidR="00723FE0" w:rsidRPr="00060866">
        <w:rPr>
          <w:color w:val="00B050"/>
          <w:vertAlign w:val="subscript"/>
          <w:lang w:val="en"/>
        </w:rPr>
        <w:t>2.5</w:t>
      </w:r>
      <w:r w:rsidRPr="00060866">
        <w:rPr>
          <w:color w:val="00B050"/>
        </w:rPr>
        <w:t xml:space="preserve">. Modeled </w:t>
      </w:r>
      <w:r w:rsidR="009E01C7" w:rsidRPr="00060866">
        <w:rPr>
          <w:color w:val="00B050"/>
          <w:lang w:val="en"/>
        </w:rPr>
        <w:t>NO</w:t>
      </w:r>
      <w:r w:rsidR="009E01C7" w:rsidRPr="00060866">
        <w:rPr>
          <w:color w:val="00B050"/>
          <w:vertAlign w:val="subscript"/>
          <w:lang w:val="en"/>
        </w:rPr>
        <w:t>3</w:t>
      </w:r>
      <w:r w:rsidRPr="00060866">
        <w:rPr>
          <w:color w:val="00B050"/>
        </w:rPr>
        <w:t xml:space="preserve"> accounts for about 50% of </w:t>
      </w:r>
      <w:r w:rsidR="00723FE0" w:rsidRPr="00060866">
        <w:rPr>
          <w:color w:val="00B050"/>
          <w:lang w:val="en"/>
        </w:rPr>
        <w:t>PM</w:t>
      </w:r>
      <w:r w:rsidR="00723FE0" w:rsidRPr="00060866">
        <w:rPr>
          <w:color w:val="00B050"/>
          <w:vertAlign w:val="subscript"/>
          <w:lang w:val="en"/>
        </w:rPr>
        <w:t>2.5</w:t>
      </w:r>
      <w:r w:rsidRPr="00060866">
        <w:rPr>
          <w:color w:val="00B050"/>
        </w:rPr>
        <w:t xml:space="preserve">, in agreement with the contribution of measured </w:t>
      </w:r>
      <w:r w:rsidR="009E01C7" w:rsidRPr="00060866">
        <w:rPr>
          <w:color w:val="00B050"/>
          <w:lang w:val="en"/>
        </w:rPr>
        <w:t>NO</w:t>
      </w:r>
      <w:r w:rsidR="009E01C7" w:rsidRPr="00060866">
        <w:rPr>
          <w:color w:val="00B050"/>
          <w:vertAlign w:val="subscript"/>
          <w:lang w:val="en"/>
        </w:rPr>
        <w:t>3</w:t>
      </w:r>
      <w:r w:rsidRPr="00060866">
        <w:rPr>
          <w:color w:val="00B050"/>
        </w:rPr>
        <w:t xml:space="preserve"> to </w:t>
      </w:r>
      <w:r w:rsidR="00723FE0" w:rsidRPr="00060866">
        <w:rPr>
          <w:color w:val="00B050"/>
          <w:lang w:val="en"/>
        </w:rPr>
        <w:t>PM</w:t>
      </w:r>
      <w:r w:rsidR="00723FE0" w:rsidRPr="00060866">
        <w:rPr>
          <w:color w:val="00B050"/>
          <w:vertAlign w:val="subscript"/>
          <w:lang w:val="en"/>
        </w:rPr>
        <w:t>2.5</w:t>
      </w:r>
      <w:r w:rsidRPr="00060866">
        <w:rPr>
          <w:color w:val="00B050"/>
        </w:rPr>
        <w:t xml:space="preserve"> mass (about 49%). Measured and modeled sulfate and ammonium also have similar fractional contributions to </w:t>
      </w:r>
      <w:r w:rsidR="00723FE0" w:rsidRPr="00060866">
        <w:rPr>
          <w:color w:val="00B050"/>
          <w:lang w:val="en"/>
        </w:rPr>
        <w:t>PM</w:t>
      </w:r>
      <w:r w:rsidR="00723FE0" w:rsidRPr="00060866">
        <w:rPr>
          <w:color w:val="00B050"/>
          <w:vertAlign w:val="subscript"/>
          <w:lang w:val="en"/>
        </w:rPr>
        <w:t>2.5</w:t>
      </w:r>
      <w:r w:rsidRPr="00060866">
        <w:rPr>
          <w:color w:val="00B050"/>
        </w:rPr>
        <w:t xml:space="preserve"> mass. The model performance for OC was also good. On the other hand, the model overestimated the percent contributions of EC and CM to </w:t>
      </w:r>
      <w:r w:rsidR="00723FE0" w:rsidRPr="00060866">
        <w:rPr>
          <w:color w:val="00B050"/>
          <w:lang w:val="en"/>
        </w:rPr>
        <w:t>PM</w:t>
      </w:r>
      <w:r w:rsidR="00723FE0" w:rsidRPr="00060866">
        <w:rPr>
          <w:color w:val="00B050"/>
          <w:vertAlign w:val="subscript"/>
          <w:lang w:val="en"/>
        </w:rPr>
        <w:t>2.5</w:t>
      </w:r>
      <w:r w:rsidRPr="00060866">
        <w:rPr>
          <w:color w:val="00B050"/>
        </w:rPr>
        <w:t xml:space="preserve">. This overprediction on days when the simulated atmospheric mixing was particularly strong could be related to an overestimation in source emissions. A more thorough evaluation is limited by the lack of speciation measurements for the selected modeling episode. </w:t>
      </w:r>
      <w:bookmarkStart w:id="88" w:name="OLE_LINK15"/>
      <w:bookmarkStart w:id="89" w:name="OLE_LINK16"/>
      <w:bookmarkStart w:id="90" w:name="OLE_LINK17"/>
    </w:p>
    <w:bookmarkEnd w:id="86"/>
    <w:bookmarkEnd w:id="87"/>
    <w:p w14:paraId="5D73EFF9" w14:textId="3745AFFC" w:rsidR="005303E7" w:rsidRDefault="007D0631" w:rsidP="005303E7">
      <w:pPr>
        <w:rPr>
          <w:color w:val="FF0000"/>
        </w:rPr>
      </w:pPr>
      <w:r>
        <w:rPr>
          <w:noProof/>
        </w:rPr>
        <mc:AlternateContent>
          <mc:Choice Requires="wps">
            <w:drawing>
              <wp:anchor distT="0" distB="0" distL="114300" distR="114300" simplePos="0" relativeHeight="251664384" behindDoc="0" locked="0" layoutInCell="1" allowOverlap="1" wp14:anchorId="5504A506" wp14:editId="70603E5F">
                <wp:simplePos x="0" y="0"/>
                <wp:positionH relativeFrom="column">
                  <wp:posOffset>3368040</wp:posOffset>
                </wp:positionH>
                <wp:positionV relativeFrom="paragraph">
                  <wp:posOffset>176530</wp:posOffset>
                </wp:positionV>
                <wp:extent cx="554355" cy="343535"/>
                <wp:effectExtent l="0" t="0" r="0" b="12065"/>
                <wp:wrapNone/>
                <wp:docPr id="4"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43535"/>
                        </a:xfrm>
                        <a:prstGeom prst="rect">
                          <a:avLst/>
                        </a:prstGeom>
                        <a:noFill/>
                        <a:ln w="6350">
                          <a:noFill/>
                        </a:ln>
                        <a:effectLst/>
                      </wps:spPr>
                      <wps:txbx>
                        <w:txbxContent>
                          <w:p w14:paraId="3E4FFB5B" w14:textId="77777777" w:rsidR="00082133" w:rsidRDefault="00082133" w:rsidP="005303E7">
                            <w:pPr>
                              <w:pStyle w:val="NormalWeb"/>
                              <w:spacing w:before="0" w:beforeAutospacing="0" w:after="200" w:afterAutospacing="0" w:line="276" w:lineRule="auto"/>
                              <w:jc w:val="center"/>
                            </w:pPr>
                            <w:r>
                              <w:rPr>
                                <w:rFonts w:eastAsia="Calibri"/>
                                <w:b/>
                                <w:bCs/>
                                <w:sz w:val="20"/>
                                <w:szCs w:val="20"/>
                              </w:rPr>
                              <w:t>b)</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504A506" id="Text Box 80" o:spid="_x0000_s1027" type="#_x0000_t202" style="position:absolute;margin-left:265.2pt;margin-top:13.9pt;width:43.65pt;height:27.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" filled="f" stroked="f" strokeweight=".5pt">
                <v:textbox>
                  <w:txbxContent>
                    <w:p w14:paraId="3E4FFB5B" w14:textId="77777777" w:rsidR="00082133" w:rsidRDefault="00082133" w:rsidP="005303E7">
                      <w:pPr>
                        <w:pStyle w:val="NormalWeb"/>
                        <w:spacing w:before="0" w:beforeAutospacing="0" w:after="200" w:afterAutospacing="0" w:line="276" w:lineRule="auto"/>
                        <w:jc w:val="center"/>
                      </w:pPr>
                      <w:r>
                        <w:rPr>
                          <w:rFonts w:eastAsia="Calibri"/>
                          <w:b/>
                          <w:bCs/>
                          <w:sz w:val="20"/>
                          <w:szCs w:val="20"/>
                        </w:rPr>
                        <w:t>b)</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351BA039" wp14:editId="7D9FDC7A">
                <wp:simplePos x="0" y="0"/>
                <wp:positionH relativeFrom="column">
                  <wp:posOffset>392430</wp:posOffset>
                </wp:positionH>
                <wp:positionV relativeFrom="paragraph">
                  <wp:posOffset>178435</wp:posOffset>
                </wp:positionV>
                <wp:extent cx="554355" cy="343535"/>
                <wp:effectExtent l="0" t="0" r="0" b="12065"/>
                <wp:wrapNone/>
                <wp:docPr id="2"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43535"/>
                        </a:xfrm>
                        <a:prstGeom prst="rect">
                          <a:avLst/>
                        </a:prstGeom>
                        <a:noFill/>
                        <a:ln w="6350">
                          <a:noFill/>
                        </a:ln>
                        <a:effectLst/>
                      </wps:spPr>
                      <wps:txbx>
                        <w:txbxContent>
                          <w:p w14:paraId="20E121C3" w14:textId="77777777" w:rsidR="00082133" w:rsidRDefault="00082133" w:rsidP="005303E7">
                            <w:pPr>
                              <w:pStyle w:val="NormalWeb"/>
                              <w:spacing w:before="0" w:beforeAutospacing="0" w:after="200" w:afterAutospacing="0" w:line="276" w:lineRule="auto"/>
                              <w:jc w:val="center"/>
                            </w:pPr>
                            <w:r>
                              <w:rPr>
                                <w:rFonts w:eastAsia="Calibri"/>
                                <w:b/>
                                <w:bCs/>
                                <w:sz w:val="20"/>
                                <w:szCs w:val="20"/>
                              </w:rPr>
                              <w:t>a)</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1BA039" id="_x0000_s1028" type="#_x0000_t202" style="position:absolute;margin-left:30.9pt;margin-top:14.05pt;width:43.65pt;height:27.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" filled="f" stroked="f" strokeweight=".5pt">
                <v:textbox>
                  <w:txbxContent>
                    <w:p w14:paraId="20E121C3" w14:textId="77777777" w:rsidR="00082133" w:rsidRDefault="00082133" w:rsidP="005303E7">
                      <w:pPr>
                        <w:pStyle w:val="NormalWeb"/>
                        <w:spacing w:before="0" w:beforeAutospacing="0" w:after="200" w:afterAutospacing="0" w:line="276" w:lineRule="auto"/>
                        <w:jc w:val="center"/>
                      </w:pPr>
                      <w:r>
                        <w:rPr>
                          <w:rFonts w:eastAsia="Calibri"/>
                          <w:b/>
                          <w:bCs/>
                          <w:sz w:val="20"/>
                          <w:szCs w:val="20"/>
                        </w:rPr>
                        <w:t>a)</w:t>
                      </w:r>
                    </w:p>
                  </w:txbxContent>
                </v:textbox>
              </v:shape>
            </w:pict>
          </mc:Fallback>
        </mc:AlternateContent>
      </w:r>
    </w:p>
    <w:p w14:paraId="778BC8EE" w14:textId="77777777" w:rsidR="00CC7F94" w:rsidRDefault="005303E7" w:rsidP="00CC7F94">
      <w:pPr>
        <w:keepNext/>
      </w:pPr>
      <w:r>
        <w:rPr>
          <w:noProof/>
        </w:rPr>
        <w:drawing>
          <wp:inline distT="0" distB="0" distL="0" distR="0" wp14:anchorId="6CAE0F83" wp14:editId="58629EF6">
            <wp:extent cx="2834640" cy="3108960"/>
            <wp:effectExtent l="0" t="0" r="0" b="0"/>
            <wp:docPr id="19" name="Chart 19">
              <a:extLst xmlns:a="http://schemas.openxmlformats.org/drawingml/2006/main">
                <a:ext uri="{FF2B5EF4-FFF2-40B4-BE49-F238E27FC236}">
                  <a16:creationId xmlns:a16="http://schemas.microsoft.com/office/drawing/2014/main" id="{E783B936-8655-4610-A535-339959B051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587B36">
        <w:rPr>
          <w:noProof/>
        </w:rPr>
        <w:t xml:space="preserve"> </w:t>
      </w:r>
      <w:r>
        <w:rPr>
          <w:noProof/>
        </w:rPr>
        <w:t xml:space="preserve">      </w:t>
      </w:r>
      <w:r>
        <w:rPr>
          <w:noProof/>
        </w:rPr>
        <w:drawing>
          <wp:inline distT="0" distB="0" distL="0" distR="0" wp14:anchorId="505E72E5" wp14:editId="169E77B2">
            <wp:extent cx="2834640" cy="3108960"/>
            <wp:effectExtent l="0" t="0" r="0" b="0"/>
            <wp:docPr id="21" name="Chart 21">
              <a:extLst xmlns:a="http://schemas.openxmlformats.org/drawingml/2006/main">
                <a:ext uri="{FF2B5EF4-FFF2-40B4-BE49-F238E27FC236}">
                  <a16:creationId xmlns:a16="http://schemas.microsoft.com/office/drawing/2014/main" id="{00000000-0008-0000-0000-00000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5DCA04DB" w14:textId="4710BDE5" w:rsidR="00CC7F94" w:rsidRPr="00723FE0" w:rsidRDefault="00CC7F94" w:rsidP="00CC7F94">
      <w:pPr>
        <w:pStyle w:val="Caption"/>
      </w:pPr>
      <w:bookmarkStart w:id="91" w:name="_Toc17201299"/>
      <w:r>
        <w:t xml:space="preserve">Figure IX.A.27. </w:t>
      </w:r>
      <w:fldSimple w:instr=" SEQ Figure_IX.A.27. \* ARABIC ">
        <w:r w:rsidR="00C012A9">
          <w:rPr>
            <w:noProof/>
          </w:rPr>
          <w:t>13</w:t>
        </w:r>
      </w:fldSimple>
      <w:r w:rsidRPr="00CC7F94">
        <w:t xml:space="preserve"> </w:t>
      </w:r>
      <w:r w:rsidRPr="00723FE0">
        <w:t>a) Measured and b) Modeled Species Contribution (in</w:t>
      </w:r>
      <w:r w:rsidR="00382818">
        <w:t xml:space="preserve"> ug/m3 and</w:t>
      </w:r>
      <w:r w:rsidRPr="00723FE0">
        <w:t xml:space="preserve"> %) to PM</w:t>
      </w:r>
      <w:r w:rsidR="00074B52">
        <w:rPr>
          <w:vertAlign w:val="subscript"/>
        </w:rPr>
        <w:t>2.5</w:t>
      </w:r>
      <w:r w:rsidRPr="00723FE0">
        <w:t xml:space="preserve"> at Lindon Monitoring Station in the Provo NAA during a typical 24-hr PM</w:t>
      </w:r>
      <w:r w:rsidRPr="00AF77DE">
        <w:rPr>
          <w:vertAlign w:val="subscript"/>
        </w:rPr>
        <w:t>2.5</w:t>
      </w:r>
      <w:r w:rsidRPr="00723FE0">
        <w:t xml:space="preserve"> exceedance day</w:t>
      </w:r>
      <w:bookmarkEnd w:id="91"/>
    </w:p>
    <w:p w14:paraId="2283761A" w14:textId="77777777" w:rsidR="00723FE0" w:rsidRDefault="00723FE0" w:rsidP="005303E7">
      <w:pPr>
        <w:rPr>
          <w:b/>
          <w:color w:val="FF0000"/>
          <w:lang w:val="en"/>
        </w:rPr>
      </w:pPr>
      <w:bookmarkStart w:id="92" w:name="_1ksv4uv" w:colFirst="0" w:colLast="0"/>
      <w:bookmarkStart w:id="93" w:name="_44sinio" w:colFirst="0" w:colLast="0"/>
      <w:bookmarkStart w:id="94" w:name="_2jxsxqh" w:colFirst="0" w:colLast="0"/>
      <w:bookmarkEnd w:id="88"/>
      <w:bookmarkEnd w:id="89"/>
      <w:bookmarkEnd w:id="90"/>
      <w:bookmarkEnd w:id="92"/>
      <w:bookmarkEnd w:id="93"/>
      <w:bookmarkEnd w:id="94"/>
    </w:p>
    <w:p w14:paraId="567ABDF2" w14:textId="77777777" w:rsidR="005303E7" w:rsidRPr="007D0010" w:rsidRDefault="005303E7" w:rsidP="005303E7">
      <w:pPr>
        <w:rPr>
          <w:i/>
          <w:lang w:val="en"/>
        </w:rPr>
      </w:pPr>
      <w:bookmarkStart w:id="95" w:name="_z337ya" w:colFirst="0" w:colLast="0"/>
      <w:bookmarkStart w:id="96" w:name="_Toc522890991"/>
      <w:bookmarkEnd w:id="95"/>
      <w:r w:rsidRPr="007D0010">
        <w:rPr>
          <w:i/>
          <w:lang w:val="en"/>
        </w:rPr>
        <w:t>Summary of Model Performance</w:t>
      </w:r>
      <w:bookmarkEnd w:id="96"/>
      <w:r w:rsidRPr="007D0010">
        <w:rPr>
          <w:i/>
          <w:lang w:val="en"/>
        </w:rPr>
        <w:t xml:space="preserve"> </w:t>
      </w:r>
    </w:p>
    <w:p w14:paraId="3DD5DE95" w14:textId="6BDA0F19" w:rsidR="005303E7" w:rsidRPr="007D0010" w:rsidRDefault="005303E7" w:rsidP="005303E7">
      <w:bookmarkStart w:id="97" w:name="_Hlk15990069"/>
      <w:r w:rsidRPr="007D0010">
        <w:rPr>
          <w:lang w:val="en"/>
        </w:rPr>
        <w:t>The model performance replicating the buildup and clear out of PM</w:t>
      </w:r>
      <w:r w:rsidRPr="007D0010">
        <w:rPr>
          <w:vertAlign w:val="subscript"/>
          <w:lang w:val="en"/>
        </w:rPr>
        <w:t>2.5</w:t>
      </w:r>
      <w:r w:rsidRPr="007D0010">
        <w:rPr>
          <w:lang w:val="en"/>
        </w:rPr>
        <w:t xml:space="preserve"> is good overall. The model captures the temporal variation in PM</w:t>
      </w:r>
      <w:r w:rsidRPr="007D0010">
        <w:rPr>
          <w:vertAlign w:val="subscript"/>
          <w:lang w:val="en"/>
        </w:rPr>
        <w:t>2.5</w:t>
      </w:r>
      <w:r w:rsidR="00EB3DAB">
        <w:rPr>
          <w:lang w:val="en"/>
        </w:rPr>
        <w:t xml:space="preserve"> well</w:t>
      </w:r>
      <w:r w:rsidRPr="007D0010">
        <w:rPr>
          <w:lang w:val="en"/>
        </w:rPr>
        <w:t>. The gradual increase in PM</w:t>
      </w:r>
      <w:r w:rsidRPr="007D0010">
        <w:rPr>
          <w:vertAlign w:val="subscript"/>
          <w:lang w:val="en"/>
        </w:rPr>
        <w:t>2.5</w:t>
      </w:r>
      <w:r w:rsidRPr="007D0010">
        <w:rPr>
          <w:lang w:val="en"/>
        </w:rPr>
        <w:t xml:space="preserve"> concentration and its transition back to low levels are generally well reproduced by the model. The model also predicts reasonably well PM</w:t>
      </w:r>
      <w:r w:rsidRPr="007D0010">
        <w:rPr>
          <w:vertAlign w:val="subscript"/>
          <w:lang w:val="en"/>
        </w:rPr>
        <w:t>2.5</w:t>
      </w:r>
      <w:r w:rsidRPr="007D0010">
        <w:rPr>
          <w:lang w:val="en"/>
        </w:rPr>
        <w:t xml:space="preserve"> concentration on peak days. It also overall replicates well the composition of PM</w:t>
      </w:r>
      <w:r w:rsidRPr="007D0010">
        <w:rPr>
          <w:vertAlign w:val="subscript"/>
          <w:lang w:val="en"/>
        </w:rPr>
        <w:t>2.5</w:t>
      </w:r>
      <w:r w:rsidRPr="007D0010">
        <w:rPr>
          <w:lang w:val="en"/>
        </w:rPr>
        <w:t xml:space="preserve"> on exceedance days, with good model performance for </w:t>
      </w:r>
      <w:r w:rsidRPr="009E01C7">
        <w:rPr>
          <w:lang w:val="en"/>
        </w:rPr>
        <w:t xml:space="preserve">secondary </w:t>
      </w:r>
      <w:r w:rsidR="009E01C7" w:rsidRPr="009E01C7">
        <w:rPr>
          <w:lang w:val="en"/>
        </w:rPr>
        <w:t>NO</w:t>
      </w:r>
      <w:r w:rsidR="009E01C7" w:rsidRPr="009E01C7">
        <w:rPr>
          <w:vertAlign w:val="subscript"/>
          <w:lang w:val="en"/>
        </w:rPr>
        <w:t>3</w:t>
      </w:r>
      <w:r w:rsidRPr="009E01C7">
        <w:rPr>
          <w:lang w:val="en"/>
        </w:rPr>
        <w:t xml:space="preserve"> and </w:t>
      </w:r>
      <w:r w:rsidRPr="007D0010">
        <w:rPr>
          <w:lang w:val="en"/>
        </w:rPr>
        <w:t>ammonium which account for over 50% of PM</w:t>
      </w:r>
      <w:r w:rsidRPr="007D0010">
        <w:rPr>
          <w:vertAlign w:val="subscript"/>
          <w:lang w:val="en"/>
        </w:rPr>
        <w:t>2.5</w:t>
      </w:r>
      <w:r w:rsidRPr="007D0010">
        <w:rPr>
          <w:lang w:val="en"/>
        </w:rPr>
        <w:t xml:space="preserve"> mass. </w:t>
      </w:r>
    </w:p>
    <w:p w14:paraId="50C8C2A9" w14:textId="77777777" w:rsidR="005303E7" w:rsidRPr="003D53DF" w:rsidRDefault="005303E7" w:rsidP="005303E7">
      <w:r w:rsidRPr="003D53DF">
        <w:t xml:space="preserve">Several observations should be noted on the implications of these model performance findings on the attainment modeling presented in the following section. First, it has been demonstrated that model performance overall is good and, thus, the model can be used for air quality planning purposes. Second, consistent with EPA guidance, the model is used in a relative sense to project future year values. EPA suggests that this approach “should reduce some of the uncertainty attendant with using absolute model predictions alone.”  </w:t>
      </w:r>
    </w:p>
    <w:p w14:paraId="61EF04C1" w14:textId="79EB071F" w:rsidR="004C1422" w:rsidRDefault="004C1422" w:rsidP="00847F69">
      <w:pPr>
        <w:pStyle w:val="Heading3"/>
        <w:numPr>
          <w:ilvl w:val="0"/>
          <w:numId w:val="0"/>
        </w:numPr>
        <w:ind w:left="720" w:hanging="360"/>
      </w:pPr>
      <w:bookmarkStart w:id="98" w:name="_Toc17201206"/>
      <w:bookmarkStart w:id="99" w:name="_Hlk15990142"/>
      <w:bookmarkEnd w:id="97"/>
      <w:r w:rsidRPr="00C82B28">
        <w:t>(</w:t>
      </w:r>
      <w:r w:rsidR="005303E7">
        <w:t>d</w:t>
      </w:r>
      <w:r w:rsidRPr="00C82B28">
        <w:t>) Modeled Attainment Test</w:t>
      </w:r>
      <w:bookmarkEnd w:id="98"/>
      <w:r w:rsidRPr="00C82B28">
        <w:t xml:space="preserve"> </w:t>
      </w:r>
    </w:p>
    <w:p w14:paraId="0890393E" w14:textId="77777777" w:rsidR="008A58D4" w:rsidRPr="008A58D4" w:rsidRDefault="008A58D4" w:rsidP="008A58D4">
      <w:pPr>
        <w:spacing w:after="0" w:line="240" w:lineRule="auto"/>
        <w:rPr>
          <w:rFonts w:eastAsia="Times New Roman" w:cs="Times New Roman"/>
          <w:bCs/>
          <w:i/>
        </w:rPr>
      </w:pPr>
      <w:bookmarkStart w:id="100" w:name="_Hlk15990126"/>
      <w:bookmarkEnd w:id="99"/>
      <w:r w:rsidRPr="008A58D4">
        <w:rPr>
          <w:rFonts w:eastAsia="Times New Roman" w:cs="Times New Roman"/>
          <w:bCs/>
          <w:i/>
        </w:rPr>
        <w:t>Introduction</w:t>
      </w:r>
    </w:p>
    <w:p w14:paraId="1FF0BCAB" w14:textId="77777777" w:rsidR="008A58D4" w:rsidRPr="00CF773B" w:rsidRDefault="008A58D4" w:rsidP="008A58D4">
      <w:pPr>
        <w:spacing w:after="0" w:line="240" w:lineRule="auto"/>
        <w:rPr>
          <w:rFonts w:eastAsia="Times New Roman" w:cs="Times New Roman"/>
        </w:rPr>
      </w:pPr>
    </w:p>
    <w:p w14:paraId="7182A7FC" w14:textId="5DBB87A2" w:rsidR="008A58D4" w:rsidRPr="00CF773B" w:rsidRDefault="008A58D4" w:rsidP="006D45BA">
      <w:r w:rsidRPr="00CF773B">
        <w:t>With acceptable performance, the model can be utilized to make future-year attainment</w:t>
      </w:r>
      <w:r w:rsidRPr="00CF773B">
        <w:rPr>
          <w:u w:val="single"/>
        </w:rPr>
        <w:t xml:space="preserve"> </w:t>
      </w:r>
      <w:r w:rsidRPr="00CF773B">
        <w:t xml:space="preserve">projections.  For any given (future) year, an attainment projection is made by calculating a concentration termed the Future Design Value (FDV). This </w:t>
      </w:r>
      <w:r w:rsidR="001647CB">
        <w:t>value is calculated</w:t>
      </w:r>
      <w:r w:rsidRPr="00CF773B">
        <w:t xml:space="preserve"> for each monitor included in the analysis, and</w:t>
      </w:r>
      <w:r>
        <w:t xml:space="preserve"> then compared to the NAAQS (35</w:t>
      </w:r>
      <w:r w:rsidRPr="00CF773B">
        <w:t xml:space="preserve"> µg/m</w:t>
      </w:r>
      <w:r w:rsidRPr="00CF773B">
        <w:rPr>
          <w:vertAlign w:val="superscript"/>
        </w:rPr>
        <w:t>3</w:t>
      </w:r>
      <w:r w:rsidRPr="00CF773B">
        <w:t xml:space="preserve">). If the FDV at every monitor located within a </w:t>
      </w:r>
      <w:r w:rsidR="001647CB">
        <w:t>NAA</w:t>
      </w:r>
      <w:r w:rsidRPr="00CF773B">
        <w:t xml:space="preserve"> is </w:t>
      </w:r>
      <w:r w:rsidR="001647CB">
        <w:t>less</w:t>
      </w:r>
      <w:r w:rsidRPr="00CF773B">
        <w:t xml:space="preserve"> than the NAAQS, this demonstrate</w:t>
      </w:r>
      <w:r w:rsidR="001647CB">
        <w:t>s</w:t>
      </w:r>
      <w:r w:rsidRPr="00CF773B">
        <w:t xml:space="preserve"> attainment for that area in that future year.</w:t>
      </w:r>
    </w:p>
    <w:p w14:paraId="342D24E8" w14:textId="6CFD426A" w:rsidR="008A58D4" w:rsidRPr="00CF773B" w:rsidRDefault="008A58D4" w:rsidP="006D45BA">
      <w:r w:rsidRPr="00CF773B">
        <w:t>A maintenance plan must demonstrate continued attainment of the NAAQS for a span of ten years.  This span is measured from the time EPA approves the plan, a date which is somewhat uncertain during plan development.  To be conservative, attainmen</w:t>
      </w:r>
      <w:r>
        <w:t>t projections were made for 2035</w:t>
      </w:r>
      <w:r w:rsidRPr="00CF773B">
        <w:t>.  An a</w:t>
      </w:r>
      <w:r>
        <w:t>ssessment was also made for 2026</w:t>
      </w:r>
      <w:r w:rsidRPr="00CF773B">
        <w:t xml:space="preserve"> as a “spot-check” against emission trends within the ten</w:t>
      </w:r>
      <w:r w:rsidR="0009231A">
        <w:t>-</w:t>
      </w:r>
      <w:r w:rsidRPr="00CF773B">
        <w:t>year span.</w:t>
      </w:r>
    </w:p>
    <w:p w14:paraId="34BA36B8" w14:textId="77777777" w:rsidR="008A58D4" w:rsidRPr="00593E58" w:rsidRDefault="008A58D4" w:rsidP="006D45BA">
      <w:pPr>
        <w:rPr>
          <w:bCs/>
          <w:i/>
        </w:rPr>
      </w:pPr>
      <w:r w:rsidRPr="00593E58">
        <w:rPr>
          <w:bCs/>
          <w:i/>
        </w:rPr>
        <w:t>PM</w:t>
      </w:r>
      <w:r w:rsidRPr="00593E58">
        <w:rPr>
          <w:bCs/>
          <w:i/>
          <w:vertAlign w:val="subscript"/>
        </w:rPr>
        <w:t>2.5</w:t>
      </w:r>
      <w:r w:rsidRPr="00593E58">
        <w:rPr>
          <w:bCs/>
          <w:i/>
        </w:rPr>
        <w:t xml:space="preserve"> Baseline Design Values</w:t>
      </w:r>
    </w:p>
    <w:p w14:paraId="2013AE3A" w14:textId="673AF5A2" w:rsidR="008A58D4" w:rsidRDefault="008A58D4" w:rsidP="006D45BA">
      <w:r w:rsidRPr="00CF773B">
        <w:t>For any monitor, the FDV is greatly influenced by existing air quality at that location.  This can be quantified and expressed as a Baseline Design Value (BDV).  The BDV is consistent with the form of the 24-hour PM</w:t>
      </w:r>
      <w:r>
        <w:rPr>
          <w:vertAlign w:val="subscript"/>
        </w:rPr>
        <w:t>2.5</w:t>
      </w:r>
      <w:r>
        <w:t xml:space="preserve"> NAAQS, which is the 98</w:t>
      </w:r>
      <w:r w:rsidRPr="00950546">
        <w:rPr>
          <w:vertAlign w:val="superscript"/>
        </w:rPr>
        <w:t>th</w:t>
      </w:r>
      <w:r>
        <w:t xml:space="preserve"> percentile value averaged over a three-year period</w:t>
      </w:r>
      <w:r w:rsidRPr="00CF773B">
        <w:t>.  Quantification of the BDV for each monitor is included in the TSD, and is consistent with EPA guidance.</w:t>
      </w:r>
    </w:p>
    <w:bookmarkEnd w:id="100"/>
    <w:p w14:paraId="5F8C7EC9" w14:textId="0C376B49" w:rsidR="008138AF" w:rsidRPr="004F78AD" w:rsidRDefault="008138AF" w:rsidP="008138AF">
      <w:pPr>
        <w:rPr>
          <w:color w:val="00B050"/>
        </w:rPr>
      </w:pPr>
      <w:r w:rsidRPr="004F78AD">
        <w:rPr>
          <w:color w:val="00B050"/>
        </w:rPr>
        <w:t>Several values were excluded when calculating the BDVs in the Provo NAA. EPA’s “Exceptional Events Rule” allows states to exclude certain air quality data due to exceptional events such as wildfires or dust storms. In the preamble to the 2016 amendments to the rule, EPA states that “the CAA also recognizes that it may not be appropriate to use the monitoring data influenced by “exceptional” events that are collected by the ambient air quality monitoring network when making certain regulatory determinations. When “exceptional” events cause exceedances or violations of the NAAQS that subsequently affect certain regulatory decisions, the normal planning and regulatory process established by the CAA may not be appropriate.”</w:t>
      </w:r>
      <w:r w:rsidRPr="004F78AD">
        <w:rPr>
          <w:color w:val="00B050"/>
          <w:vertAlign w:val="superscript"/>
        </w:rPr>
        <w:t xml:space="preserve"> </w:t>
      </w:r>
      <w:r w:rsidRPr="004F78AD">
        <w:rPr>
          <w:color w:val="00B050"/>
          <w:vertAlign w:val="superscript"/>
        </w:rPr>
        <w:footnoteReference w:id="23"/>
      </w:r>
      <w:r w:rsidRPr="004F78AD">
        <w:rPr>
          <w:color w:val="00B050"/>
        </w:rPr>
        <w:t xml:space="preserve"> </w:t>
      </w:r>
    </w:p>
    <w:p w14:paraId="2BE8C514" w14:textId="0E6B9094" w:rsidR="008138AF" w:rsidRPr="004F78AD" w:rsidRDefault="008138AF" w:rsidP="008138AF">
      <w:pPr>
        <w:rPr>
          <w:color w:val="00B050"/>
        </w:rPr>
      </w:pPr>
      <w:r w:rsidRPr="004F78AD">
        <w:rPr>
          <w:color w:val="00B050"/>
        </w:rPr>
        <w:t>There were two large local wildfires during the summer of 2018 that affected the ambient monitored PM</w:t>
      </w:r>
      <w:r w:rsidRPr="004F78AD">
        <w:rPr>
          <w:color w:val="00B050"/>
          <w:vertAlign w:val="subscript"/>
        </w:rPr>
        <w:t>2.5</w:t>
      </w:r>
      <w:r w:rsidRPr="004F78AD">
        <w:rPr>
          <w:color w:val="00B050"/>
        </w:rPr>
        <w:t xml:space="preserve"> values at the Spanish Fork monitor in the Provo NAA. When including the atypical data influenced by wildfires, the baseline design value is just below the NAAQS at 35.4 </w:t>
      </w:r>
      <w:bookmarkStart w:id="101" w:name="_Hlk15465952"/>
      <w:r w:rsidRPr="004F78AD">
        <w:rPr>
          <w:color w:val="00B050"/>
        </w:rPr>
        <w:t>µg/m</w:t>
      </w:r>
      <w:r w:rsidRPr="004F78AD">
        <w:rPr>
          <w:color w:val="00B050"/>
          <w:vertAlign w:val="superscript"/>
        </w:rPr>
        <w:t>3</w:t>
      </w:r>
      <w:bookmarkEnd w:id="101"/>
      <w:r w:rsidRPr="004F78AD">
        <w:rPr>
          <w:color w:val="00B050"/>
        </w:rPr>
        <w:t xml:space="preserve">. Since the design value </w:t>
      </w:r>
      <w:r w:rsidR="00CC4AE6">
        <w:rPr>
          <w:color w:val="00B050"/>
        </w:rPr>
        <w:t>compl</w:t>
      </w:r>
      <w:r w:rsidR="0008754C">
        <w:rPr>
          <w:color w:val="00B050"/>
        </w:rPr>
        <w:t xml:space="preserve">ies </w:t>
      </w:r>
      <w:r w:rsidRPr="004F78AD">
        <w:rPr>
          <w:color w:val="00B050"/>
        </w:rPr>
        <w:t xml:space="preserve">with the NAAQS, the wildfire events are not considered “exceptional events” because they did not cause exceedances or violations of the NAAQS (40 CFR 50.14). In anticipation that there would be some determinations and analyses not covered by the Exceptional Events Rules that would rely on air quality data that may have been influenced by atypical, extreme, or unrepresentative events, EPA published </w:t>
      </w:r>
      <w:r w:rsidR="0008754C">
        <w:rPr>
          <w:color w:val="00B050"/>
        </w:rPr>
        <w:t xml:space="preserve">further </w:t>
      </w:r>
      <w:r w:rsidRPr="004F78AD">
        <w:rPr>
          <w:color w:val="00B050"/>
        </w:rPr>
        <w:t>guidance on the subject</w:t>
      </w:r>
      <w:r w:rsidRPr="004F78AD">
        <w:rPr>
          <w:color w:val="00B050"/>
          <w:vertAlign w:val="superscript"/>
        </w:rPr>
        <w:footnoteReference w:id="24"/>
      </w:r>
      <w:r w:rsidRPr="004F78AD">
        <w:rPr>
          <w:color w:val="00B050"/>
        </w:rPr>
        <w:t>.</w:t>
      </w:r>
    </w:p>
    <w:p w14:paraId="1BDD64DD" w14:textId="656A297E" w:rsidR="008138AF" w:rsidRPr="004F78AD" w:rsidRDefault="008138AF" w:rsidP="008138AF">
      <w:pPr>
        <w:rPr>
          <w:color w:val="00B050"/>
        </w:rPr>
      </w:pPr>
      <w:r w:rsidRPr="004F78AD">
        <w:rPr>
          <w:color w:val="00B050"/>
        </w:rPr>
        <w:t xml:space="preserve">This </w:t>
      </w:r>
      <w:r w:rsidR="0008754C">
        <w:rPr>
          <w:color w:val="00B050"/>
        </w:rPr>
        <w:t>g</w:t>
      </w:r>
      <w:r w:rsidRPr="004F78AD">
        <w:rPr>
          <w:color w:val="00B050"/>
        </w:rPr>
        <w:t>uidance identifies the most common determinations and analyses not covered by the Exceptional Events Rule and clarifies for each of them whether there is a separate existing mechanism under which the exclusion, selection, or adjustment of air quality monitoring data may be appropriate. One example is certain modeling analyses under EPA’s Guideline on Air Quality Models Rule, including modeling analyses used for estimating base and future year design values for ozone and PM</w:t>
      </w:r>
      <w:r w:rsidRPr="004F78AD">
        <w:rPr>
          <w:color w:val="00B050"/>
          <w:vertAlign w:val="subscript"/>
        </w:rPr>
        <w:t>2.5</w:t>
      </w:r>
      <w:r w:rsidRPr="004F78AD">
        <w:rPr>
          <w:color w:val="00B050"/>
        </w:rPr>
        <w:t xml:space="preserve"> attainment demonstrations. </w:t>
      </w:r>
    </w:p>
    <w:p w14:paraId="17732889" w14:textId="77777777" w:rsidR="008138AF" w:rsidRPr="004F78AD" w:rsidRDefault="008138AF" w:rsidP="008138AF">
      <w:pPr>
        <w:rPr>
          <w:color w:val="00B050"/>
        </w:rPr>
      </w:pPr>
      <w:r w:rsidRPr="004F78AD">
        <w:rPr>
          <w:color w:val="00B050"/>
        </w:rPr>
        <w:t xml:space="preserve">According to the Guidance, these types of modeling analyses may exclude monitoring data if the data is not representative to characterize base period concentrations which may impact a determinative value in a projected time period. This could include data used to model future year design values for demonstrating attainment. </w:t>
      </w:r>
    </w:p>
    <w:p w14:paraId="37E6D6BA" w14:textId="77777777" w:rsidR="008138AF" w:rsidRPr="004F78AD" w:rsidRDefault="008138AF" w:rsidP="008138AF">
      <w:pPr>
        <w:rPr>
          <w:color w:val="00B050"/>
        </w:rPr>
      </w:pPr>
      <w:r w:rsidRPr="004F78AD">
        <w:rPr>
          <w:color w:val="00B050"/>
        </w:rPr>
        <w:t xml:space="preserve"> In the case of the two Utah County fires, the ambient data recorded by the Spanish Fork monitor was atypical. It did not characterize base period concentrations, and it would impact a determinative value in the projected design value. Since this data is atypical and gives an atypical projected design value, it should be excluded from the Provo NAA’s modeling and maintenance demonstration.  </w:t>
      </w:r>
    </w:p>
    <w:p w14:paraId="2DC877EF" w14:textId="6E46985A" w:rsidR="008138AF" w:rsidRPr="004F78AD" w:rsidRDefault="008138AF" w:rsidP="008138AF">
      <w:pPr>
        <w:rPr>
          <w:color w:val="00B050"/>
        </w:rPr>
      </w:pPr>
      <w:r w:rsidRPr="004F78AD">
        <w:rPr>
          <w:color w:val="00B050"/>
        </w:rPr>
        <w:t>As a result, this maintenance plan modeling uses a baseline design value that excludes the atypical data at the Spanish Fork monitor from the two fires. The baseline design value including the atypical data is 35.4 µg/m</w:t>
      </w:r>
      <w:r w:rsidRPr="004F78AD">
        <w:rPr>
          <w:color w:val="00B050"/>
          <w:vertAlign w:val="superscript"/>
        </w:rPr>
        <w:t>3</w:t>
      </w:r>
      <w:r w:rsidRPr="004F78AD">
        <w:rPr>
          <w:color w:val="00B050"/>
        </w:rPr>
        <w:t>. The baseline design value excluding the atypical data is 28.4 µg/m</w:t>
      </w:r>
      <w:r w:rsidRPr="004F78AD">
        <w:rPr>
          <w:color w:val="00B050"/>
          <w:vertAlign w:val="superscript"/>
        </w:rPr>
        <w:t>3</w:t>
      </w:r>
      <w:r w:rsidRPr="004F78AD">
        <w:rPr>
          <w:color w:val="00B050"/>
        </w:rPr>
        <w:t xml:space="preserve">. An extensive atypical event write-up, including back trajectory analysis using HYSPLIT, is included in the TSDs. Table </w:t>
      </w:r>
      <w:r w:rsidR="0008754C">
        <w:rPr>
          <w:color w:val="00B050"/>
        </w:rPr>
        <w:t xml:space="preserve">IX.A.27.8 </w:t>
      </w:r>
      <w:r w:rsidRPr="004F78AD">
        <w:rPr>
          <w:color w:val="00B050"/>
        </w:rPr>
        <w:t xml:space="preserve"> details the filtered PM</w:t>
      </w:r>
      <w:r w:rsidRPr="004F78AD">
        <w:rPr>
          <w:color w:val="00B050"/>
          <w:vertAlign w:val="subscript"/>
        </w:rPr>
        <w:t>2.5</w:t>
      </w:r>
      <w:r w:rsidRPr="004F78AD">
        <w:rPr>
          <w:color w:val="00B050"/>
        </w:rPr>
        <w:t xml:space="preserve"> values that are excluded.</w:t>
      </w:r>
    </w:p>
    <w:tbl>
      <w:tblPr>
        <w:tblW w:w="0" w:type="auto"/>
        <w:tblInd w:w="1443" w:type="dxa"/>
        <w:tblBorders>
          <w:top w:val="single" w:sz="4" w:space="0" w:color="auto"/>
          <w:bottom w:val="single" w:sz="4" w:space="0" w:color="auto"/>
          <w:insideH w:val="single" w:sz="4" w:space="0" w:color="auto"/>
        </w:tblBorders>
        <w:tblLook w:val="04A0" w:firstRow="1" w:lastRow="0" w:firstColumn="1" w:lastColumn="0" w:noHBand="0" w:noVBand="1"/>
      </w:tblPr>
      <w:tblGrid>
        <w:gridCol w:w="1458"/>
        <w:gridCol w:w="1710"/>
        <w:gridCol w:w="3867"/>
      </w:tblGrid>
      <w:tr w:rsidR="004F78AD" w:rsidRPr="008138AF" w14:paraId="510EEE14" w14:textId="77777777" w:rsidTr="00032781">
        <w:tc>
          <w:tcPr>
            <w:tcW w:w="1458" w:type="dxa"/>
            <w:shd w:val="clear" w:color="auto" w:fill="auto"/>
          </w:tcPr>
          <w:p w14:paraId="7EADE7E8"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b/>
                <w:color w:val="00B050"/>
              </w:rPr>
            </w:pPr>
            <w:r w:rsidRPr="008138AF">
              <w:rPr>
                <w:rFonts w:ascii="Arial" w:eastAsia="Times New Roman" w:hAnsi="Arial" w:cs="Arial"/>
                <w:b/>
                <w:color w:val="00B050"/>
              </w:rPr>
              <w:t>Date</w:t>
            </w:r>
          </w:p>
        </w:tc>
        <w:tc>
          <w:tcPr>
            <w:tcW w:w="1710" w:type="dxa"/>
            <w:shd w:val="clear" w:color="auto" w:fill="auto"/>
          </w:tcPr>
          <w:p w14:paraId="70A6B88C"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b/>
                <w:color w:val="00B050"/>
              </w:rPr>
            </w:pPr>
            <w:r w:rsidRPr="008138AF">
              <w:rPr>
                <w:rFonts w:ascii="Arial" w:eastAsia="Times New Roman" w:hAnsi="Arial" w:cs="Arial"/>
                <w:b/>
                <w:color w:val="00B050"/>
              </w:rPr>
              <w:t>Value</w:t>
            </w:r>
          </w:p>
        </w:tc>
        <w:tc>
          <w:tcPr>
            <w:tcW w:w="3867" w:type="dxa"/>
            <w:shd w:val="clear" w:color="auto" w:fill="auto"/>
          </w:tcPr>
          <w:p w14:paraId="4702CA12"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b/>
                <w:color w:val="00B050"/>
                <w:highlight w:val="yellow"/>
              </w:rPr>
            </w:pPr>
            <w:r w:rsidRPr="008138AF">
              <w:rPr>
                <w:rFonts w:ascii="Arial" w:eastAsia="Times New Roman" w:hAnsi="Arial" w:cs="Arial"/>
                <w:b/>
                <w:color w:val="00B050"/>
              </w:rPr>
              <w:t>Wildfire Sources</w:t>
            </w:r>
          </w:p>
        </w:tc>
      </w:tr>
      <w:tr w:rsidR="004F78AD" w:rsidRPr="008138AF" w14:paraId="498A956A" w14:textId="77777777" w:rsidTr="00032781">
        <w:tc>
          <w:tcPr>
            <w:tcW w:w="1458" w:type="dxa"/>
            <w:shd w:val="clear" w:color="auto" w:fill="auto"/>
          </w:tcPr>
          <w:p w14:paraId="44D0516D" w14:textId="77777777" w:rsidR="008138AF" w:rsidRPr="008138AF" w:rsidRDefault="008138AF" w:rsidP="008138AF">
            <w:pPr>
              <w:autoSpaceDE w:val="0"/>
              <w:autoSpaceDN w:val="0"/>
              <w:adjustRightInd w:val="0"/>
              <w:spacing w:after="0" w:line="240" w:lineRule="auto"/>
              <w:rPr>
                <w:rFonts w:ascii="Arial" w:eastAsia="Times New Roman" w:hAnsi="Arial" w:cs="Arial"/>
                <w:color w:val="00B050"/>
              </w:rPr>
            </w:pPr>
            <w:r w:rsidRPr="008138AF">
              <w:rPr>
                <w:rFonts w:ascii="Arial" w:eastAsia="Times New Roman" w:hAnsi="Arial" w:cs="Arial"/>
                <w:color w:val="00B050"/>
              </w:rPr>
              <w:t>8/7/2018</w:t>
            </w:r>
          </w:p>
        </w:tc>
        <w:tc>
          <w:tcPr>
            <w:tcW w:w="1710" w:type="dxa"/>
            <w:shd w:val="clear" w:color="auto" w:fill="auto"/>
          </w:tcPr>
          <w:p w14:paraId="06D0AC7A"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37.8</w:t>
            </w:r>
          </w:p>
        </w:tc>
        <w:tc>
          <w:tcPr>
            <w:tcW w:w="3867" w:type="dxa"/>
            <w:shd w:val="clear" w:color="auto" w:fill="auto"/>
          </w:tcPr>
          <w:p w14:paraId="0E756AB0" w14:textId="77777777" w:rsidR="008138AF" w:rsidRPr="008138AF" w:rsidRDefault="008138AF" w:rsidP="008138AF">
            <w:pPr>
              <w:autoSpaceDE w:val="0"/>
              <w:autoSpaceDN w:val="0"/>
              <w:adjustRightInd w:val="0"/>
              <w:spacing w:after="0" w:line="240" w:lineRule="auto"/>
              <w:rPr>
                <w:rFonts w:ascii="Arial" w:eastAsia="Times New Roman" w:hAnsi="Arial" w:cs="Arial"/>
                <w:color w:val="00B050"/>
                <w:highlight w:val="yellow"/>
              </w:rPr>
            </w:pPr>
            <w:r w:rsidRPr="008138AF">
              <w:rPr>
                <w:rFonts w:ascii="Arial" w:eastAsia="Times New Roman" w:hAnsi="Arial" w:cs="Arial"/>
                <w:color w:val="00B050"/>
              </w:rPr>
              <w:t xml:space="preserve">Coal Hollow </w:t>
            </w:r>
          </w:p>
        </w:tc>
      </w:tr>
      <w:tr w:rsidR="004F78AD" w:rsidRPr="008138AF" w14:paraId="3ED5F03D" w14:textId="77777777" w:rsidTr="00032781">
        <w:tc>
          <w:tcPr>
            <w:tcW w:w="1458" w:type="dxa"/>
            <w:shd w:val="clear" w:color="auto" w:fill="auto"/>
          </w:tcPr>
          <w:p w14:paraId="6492D52E" w14:textId="77777777" w:rsidR="008138AF" w:rsidRPr="008138AF" w:rsidRDefault="008138AF" w:rsidP="008138AF">
            <w:pPr>
              <w:autoSpaceDE w:val="0"/>
              <w:autoSpaceDN w:val="0"/>
              <w:adjustRightInd w:val="0"/>
              <w:spacing w:after="0" w:line="240" w:lineRule="auto"/>
              <w:rPr>
                <w:rFonts w:ascii="Arial" w:eastAsia="Times New Roman" w:hAnsi="Arial" w:cs="Arial"/>
                <w:color w:val="00B050"/>
              </w:rPr>
            </w:pPr>
            <w:r w:rsidRPr="008138AF">
              <w:rPr>
                <w:rFonts w:ascii="Arial" w:eastAsia="Times New Roman" w:hAnsi="Arial" w:cs="Arial"/>
                <w:color w:val="00B050"/>
              </w:rPr>
              <w:t>8/9/2018</w:t>
            </w:r>
          </w:p>
        </w:tc>
        <w:tc>
          <w:tcPr>
            <w:tcW w:w="1710" w:type="dxa"/>
            <w:shd w:val="clear" w:color="auto" w:fill="auto"/>
          </w:tcPr>
          <w:p w14:paraId="70091F19"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50.8</w:t>
            </w:r>
          </w:p>
        </w:tc>
        <w:tc>
          <w:tcPr>
            <w:tcW w:w="3867" w:type="dxa"/>
            <w:shd w:val="clear" w:color="auto" w:fill="auto"/>
          </w:tcPr>
          <w:p w14:paraId="28FAF6AC"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Coal Hollow and other western state(s) fire(s)</w:t>
            </w:r>
          </w:p>
        </w:tc>
      </w:tr>
      <w:tr w:rsidR="004F78AD" w:rsidRPr="008138AF" w14:paraId="641E2C16" w14:textId="77777777" w:rsidTr="00032781">
        <w:tc>
          <w:tcPr>
            <w:tcW w:w="1458" w:type="dxa"/>
            <w:shd w:val="clear" w:color="auto" w:fill="auto"/>
          </w:tcPr>
          <w:p w14:paraId="306E2024" w14:textId="77777777" w:rsidR="008138AF" w:rsidRPr="008138AF" w:rsidRDefault="008138AF" w:rsidP="008138AF">
            <w:pPr>
              <w:autoSpaceDE w:val="0"/>
              <w:autoSpaceDN w:val="0"/>
              <w:adjustRightInd w:val="0"/>
              <w:spacing w:after="0" w:line="240" w:lineRule="auto"/>
              <w:rPr>
                <w:rFonts w:ascii="Arial" w:eastAsia="Times New Roman" w:hAnsi="Arial" w:cs="Arial"/>
                <w:color w:val="00B050"/>
              </w:rPr>
            </w:pPr>
            <w:r w:rsidRPr="008138AF">
              <w:rPr>
                <w:rFonts w:ascii="Arial" w:eastAsia="Times New Roman" w:hAnsi="Arial" w:cs="Arial"/>
                <w:color w:val="00B050"/>
              </w:rPr>
              <w:t>8/10/2018</w:t>
            </w:r>
          </w:p>
        </w:tc>
        <w:tc>
          <w:tcPr>
            <w:tcW w:w="1710" w:type="dxa"/>
            <w:shd w:val="clear" w:color="auto" w:fill="auto"/>
          </w:tcPr>
          <w:p w14:paraId="0BD3BF9A"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68.8</w:t>
            </w:r>
          </w:p>
        </w:tc>
        <w:tc>
          <w:tcPr>
            <w:tcW w:w="3867" w:type="dxa"/>
            <w:shd w:val="clear" w:color="auto" w:fill="auto"/>
          </w:tcPr>
          <w:p w14:paraId="556A251A"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Coal Hollow and other western state(s) fire(s)</w:t>
            </w:r>
          </w:p>
        </w:tc>
      </w:tr>
      <w:tr w:rsidR="004F78AD" w:rsidRPr="008138AF" w14:paraId="14DADC81" w14:textId="77777777" w:rsidTr="00032781">
        <w:tc>
          <w:tcPr>
            <w:tcW w:w="1458" w:type="dxa"/>
            <w:shd w:val="clear" w:color="auto" w:fill="auto"/>
          </w:tcPr>
          <w:p w14:paraId="748E396E" w14:textId="77777777" w:rsidR="008138AF" w:rsidRPr="008138AF" w:rsidRDefault="008138AF" w:rsidP="008138AF">
            <w:pPr>
              <w:autoSpaceDE w:val="0"/>
              <w:autoSpaceDN w:val="0"/>
              <w:adjustRightInd w:val="0"/>
              <w:spacing w:after="0" w:line="240" w:lineRule="auto"/>
              <w:rPr>
                <w:rFonts w:ascii="Arial" w:eastAsia="Times New Roman" w:hAnsi="Arial" w:cs="Arial"/>
                <w:color w:val="00B050"/>
              </w:rPr>
            </w:pPr>
            <w:r w:rsidRPr="008138AF">
              <w:rPr>
                <w:rFonts w:ascii="Arial" w:eastAsia="Times New Roman" w:hAnsi="Arial" w:cs="Arial"/>
                <w:color w:val="00B050"/>
              </w:rPr>
              <w:t>8/11/2018</w:t>
            </w:r>
          </w:p>
        </w:tc>
        <w:tc>
          <w:tcPr>
            <w:tcW w:w="1710" w:type="dxa"/>
            <w:shd w:val="clear" w:color="auto" w:fill="auto"/>
          </w:tcPr>
          <w:p w14:paraId="0F3E3151"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49.6</w:t>
            </w:r>
          </w:p>
        </w:tc>
        <w:tc>
          <w:tcPr>
            <w:tcW w:w="3867" w:type="dxa"/>
            <w:shd w:val="clear" w:color="auto" w:fill="auto"/>
          </w:tcPr>
          <w:p w14:paraId="5FF6A9BF"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Coal Hollow and other western state(s) fire(s)</w:t>
            </w:r>
          </w:p>
        </w:tc>
      </w:tr>
      <w:tr w:rsidR="004F78AD" w:rsidRPr="008138AF" w14:paraId="7239B88F" w14:textId="77777777" w:rsidTr="00032781">
        <w:tc>
          <w:tcPr>
            <w:tcW w:w="1458" w:type="dxa"/>
            <w:shd w:val="clear" w:color="auto" w:fill="auto"/>
          </w:tcPr>
          <w:p w14:paraId="2B4A0BB8"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8/13/2018</w:t>
            </w:r>
          </w:p>
        </w:tc>
        <w:tc>
          <w:tcPr>
            <w:tcW w:w="1710" w:type="dxa"/>
            <w:shd w:val="clear" w:color="auto" w:fill="auto"/>
          </w:tcPr>
          <w:p w14:paraId="52B056ED"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58.1</w:t>
            </w:r>
          </w:p>
        </w:tc>
        <w:tc>
          <w:tcPr>
            <w:tcW w:w="3867" w:type="dxa"/>
            <w:shd w:val="clear" w:color="auto" w:fill="auto"/>
          </w:tcPr>
          <w:p w14:paraId="5203AE12"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Coal Hollow and other western state(s) fire(s)</w:t>
            </w:r>
          </w:p>
        </w:tc>
      </w:tr>
      <w:tr w:rsidR="004F78AD" w:rsidRPr="008138AF" w14:paraId="3D493B71" w14:textId="77777777" w:rsidTr="00032781">
        <w:tc>
          <w:tcPr>
            <w:tcW w:w="1458" w:type="dxa"/>
            <w:shd w:val="clear" w:color="auto" w:fill="auto"/>
          </w:tcPr>
          <w:p w14:paraId="2B6A45DA"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9/14/2018</w:t>
            </w:r>
          </w:p>
        </w:tc>
        <w:tc>
          <w:tcPr>
            <w:tcW w:w="1710" w:type="dxa"/>
            <w:shd w:val="clear" w:color="auto" w:fill="auto"/>
          </w:tcPr>
          <w:p w14:paraId="2706986F"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71.5</w:t>
            </w:r>
          </w:p>
        </w:tc>
        <w:tc>
          <w:tcPr>
            <w:tcW w:w="3867" w:type="dxa"/>
            <w:shd w:val="clear" w:color="auto" w:fill="auto"/>
          </w:tcPr>
          <w:p w14:paraId="4312A4CE"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r w:rsidR="004F78AD" w:rsidRPr="008138AF" w14:paraId="56A40411" w14:textId="77777777" w:rsidTr="00032781">
        <w:tc>
          <w:tcPr>
            <w:tcW w:w="1458" w:type="dxa"/>
            <w:shd w:val="clear" w:color="auto" w:fill="auto"/>
          </w:tcPr>
          <w:p w14:paraId="3D7A3844"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9/15/2018</w:t>
            </w:r>
          </w:p>
        </w:tc>
        <w:tc>
          <w:tcPr>
            <w:tcW w:w="1710" w:type="dxa"/>
            <w:shd w:val="clear" w:color="auto" w:fill="auto"/>
          </w:tcPr>
          <w:p w14:paraId="14CD56DB"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42.6</w:t>
            </w:r>
          </w:p>
        </w:tc>
        <w:tc>
          <w:tcPr>
            <w:tcW w:w="3867" w:type="dxa"/>
            <w:shd w:val="clear" w:color="auto" w:fill="auto"/>
          </w:tcPr>
          <w:p w14:paraId="2489D458"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r w:rsidR="004F78AD" w:rsidRPr="008138AF" w14:paraId="09875F99" w14:textId="77777777" w:rsidTr="00032781">
        <w:tc>
          <w:tcPr>
            <w:tcW w:w="1458" w:type="dxa"/>
            <w:shd w:val="clear" w:color="auto" w:fill="auto"/>
          </w:tcPr>
          <w:p w14:paraId="6D3CE0AE"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9/17/2018</w:t>
            </w:r>
          </w:p>
        </w:tc>
        <w:tc>
          <w:tcPr>
            <w:tcW w:w="1710" w:type="dxa"/>
            <w:shd w:val="clear" w:color="auto" w:fill="auto"/>
          </w:tcPr>
          <w:p w14:paraId="5384719D"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74.5</w:t>
            </w:r>
          </w:p>
        </w:tc>
        <w:tc>
          <w:tcPr>
            <w:tcW w:w="3867" w:type="dxa"/>
            <w:shd w:val="clear" w:color="auto" w:fill="auto"/>
          </w:tcPr>
          <w:p w14:paraId="1B077E5C"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r w:rsidR="004F78AD" w:rsidRPr="008138AF" w14:paraId="1E0EACCD" w14:textId="77777777" w:rsidTr="00032781">
        <w:tc>
          <w:tcPr>
            <w:tcW w:w="1458" w:type="dxa"/>
            <w:shd w:val="clear" w:color="auto" w:fill="auto"/>
          </w:tcPr>
          <w:p w14:paraId="296B31B2"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9/18/2018</w:t>
            </w:r>
          </w:p>
        </w:tc>
        <w:tc>
          <w:tcPr>
            <w:tcW w:w="1710" w:type="dxa"/>
            <w:shd w:val="clear" w:color="auto" w:fill="auto"/>
          </w:tcPr>
          <w:p w14:paraId="105E4D96"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57.7</w:t>
            </w:r>
          </w:p>
        </w:tc>
        <w:tc>
          <w:tcPr>
            <w:tcW w:w="3867" w:type="dxa"/>
            <w:shd w:val="clear" w:color="auto" w:fill="auto"/>
          </w:tcPr>
          <w:p w14:paraId="0CD337C1"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r w:rsidR="004F78AD" w:rsidRPr="008138AF" w14:paraId="1B7FB3A5" w14:textId="77777777" w:rsidTr="00032781">
        <w:tc>
          <w:tcPr>
            <w:tcW w:w="1458" w:type="dxa"/>
            <w:shd w:val="clear" w:color="auto" w:fill="auto"/>
          </w:tcPr>
          <w:p w14:paraId="3407E51A"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9/19/2018</w:t>
            </w:r>
          </w:p>
        </w:tc>
        <w:tc>
          <w:tcPr>
            <w:tcW w:w="1710" w:type="dxa"/>
            <w:shd w:val="clear" w:color="auto" w:fill="auto"/>
          </w:tcPr>
          <w:p w14:paraId="2DECEBDD"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76.3</w:t>
            </w:r>
          </w:p>
        </w:tc>
        <w:tc>
          <w:tcPr>
            <w:tcW w:w="3867" w:type="dxa"/>
            <w:shd w:val="clear" w:color="auto" w:fill="auto"/>
          </w:tcPr>
          <w:p w14:paraId="752159D2" w14:textId="77777777" w:rsidR="008138AF" w:rsidRPr="008138AF" w:rsidRDefault="008138AF" w:rsidP="008138AF">
            <w:pPr>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r w:rsidR="004F78AD" w:rsidRPr="008138AF" w14:paraId="55EF26BE" w14:textId="77777777" w:rsidTr="00032781">
        <w:tc>
          <w:tcPr>
            <w:tcW w:w="1458" w:type="dxa"/>
            <w:shd w:val="clear" w:color="auto" w:fill="auto"/>
          </w:tcPr>
          <w:p w14:paraId="0D1B7937" w14:textId="77777777" w:rsidR="008138AF" w:rsidRPr="008138AF" w:rsidRDefault="008138AF" w:rsidP="008138AF">
            <w:pPr>
              <w:autoSpaceDE w:val="0"/>
              <w:autoSpaceDN w:val="0"/>
              <w:adjustRightInd w:val="0"/>
              <w:spacing w:after="0" w:line="240" w:lineRule="auto"/>
              <w:jc w:val="both"/>
              <w:rPr>
                <w:rFonts w:ascii="Arial" w:eastAsia="Times New Roman" w:hAnsi="Arial" w:cs="Arial"/>
                <w:color w:val="00B050"/>
              </w:rPr>
            </w:pPr>
            <w:r w:rsidRPr="008138AF">
              <w:rPr>
                <w:rFonts w:ascii="Arial" w:eastAsia="Times New Roman" w:hAnsi="Arial" w:cs="Arial"/>
                <w:color w:val="00B050"/>
              </w:rPr>
              <w:t>9/21/2018</w:t>
            </w:r>
          </w:p>
        </w:tc>
        <w:tc>
          <w:tcPr>
            <w:tcW w:w="1710" w:type="dxa"/>
            <w:shd w:val="clear" w:color="auto" w:fill="auto"/>
          </w:tcPr>
          <w:p w14:paraId="7205F643" w14:textId="77777777" w:rsidR="008138AF" w:rsidRPr="008138AF" w:rsidRDefault="008138AF" w:rsidP="008138AF">
            <w:pPr>
              <w:autoSpaceDE w:val="0"/>
              <w:autoSpaceDN w:val="0"/>
              <w:adjustRightInd w:val="0"/>
              <w:spacing w:after="0" w:line="240" w:lineRule="auto"/>
              <w:jc w:val="center"/>
              <w:rPr>
                <w:rFonts w:ascii="Arial" w:eastAsia="Times New Roman" w:hAnsi="Arial" w:cs="Arial"/>
                <w:color w:val="00B050"/>
              </w:rPr>
            </w:pPr>
            <w:r w:rsidRPr="008138AF">
              <w:rPr>
                <w:rFonts w:ascii="Arial" w:eastAsia="Times New Roman" w:hAnsi="Arial" w:cs="Arial"/>
                <w:color w:val="00B050"/>
              </w:rPr>
              <w:t>39.3</w:t>
            </w:r>
          </w:p>
        </w:tc>
        <w:tc>
          <w:tcPr>
            <w:tcW w:w="3867" w:type="dxa"/>
            <w:shd w:val="clear" w:color="auto" w:fill="auto"/>
          </w:tcPr>
          <w:p w14:paraId="69C56CE3" w14:textId="77777777" w:rsidR="008138AF" w:rsidRPr="008138AF" w:rsidRDefault="008138AF" w:rsidP="00053576">
            <w:pPr>
              <w:keepNext/>
              <w:spacing w:after="0" w:line="240" w:lineRule="auto"/>
              <w:rPr>
                <w:rFonts w:ascii="Arial" w:eastAsia="Times New Roman" w:hAnsi="Arial" w:cs="Arial"/>
                <w:color w:val="00B050"/>
              </w:rPr>
            </w:pPr>
            <w:r w:rsidRPr="008138AF">
              <w:rPr>
                <w:rFonts w:ascii="Arial" w:eastAsia="Times New Roman" w:hAnsi="Arial" w:cs="Arial"/>
                <w:color w:val="00B050"/>
              </w:rPr>
              <w:t>Pole Creek and Bald Mountain</w:t>
            </w:r>
          </w:p>
        </w:tc>
      </w:tr>
    </w:tbl>
    <w:p w14:paraId="13680DFF" w14:textId="696D4951" w:rsidR="00CC56D8" w:rsidRDefault="00053576" w:rsidP="00053576">
      <w:pPr>
        <w:pStyle w:val="Caption"/>
        <w:rPr>
          <w:i/>
        </w:rPr>
      </w:pPr>
      <w:bookmarkStart w:id="102" w:name="_Toc17201282"/>
      <w:r>
        <w:t xml:space="preserve">Table IX.A.27. </w:t>
      </w:r>
      <w:fldSimple w:instr=" SEQ Table_IX.A.27. \* ARABIC ">
        <w:r w:rsidR="00C012A9">
          <w:rPr>
            <w:noProof/>
          </w:rPr>
          <w:t>8</w:t>
        </w:r>
      </w:fldSimple>
      <w:r w:rsidR="00B1647C">
        <w:t xml:space="preserve"> Atypical Event Values Excluded from Baseline Design Value at the Spanish Fork Monitor</w:t>
      </w:r>
      <w:bookmarkEnd w:id="102"/>
    </w:p>
    <w:p w14:paraId="2E2DB1AE" w14:textId="77777777" w:rsidR="00B1647C" w:rsidRDefault="008A58D4" w:rsidP="006D45BA">
      <w:pPr>
        <w:rPr>
          <w:i/>
        </w:rPr>
      </w:pPr>
      <w:r w:rsidRPr="006D45BA">
        <w:rPr>
          <w:i/>
        </w:rPr>
        <w:t xml:space="preserve"> </w:t>
      </w:r>
      <w:bookmarkStart w:id="103" w:name="_Hlk15990167"/>
    </w:p>
    <w:p w14:paraId="682B9229" w14:textId="135B3C87" w:rsidR="008A58D4" w:rsidRPr="006D45BA" w:rsidRDefault="008A58D4" w:rsidP="006D45BA">
      <w:pPr>
        <w:rPr>
          <w:bCs/>
          <w:i/>
        </w:rPr>
      </w:pPr>
      <w:r w:rsidRPr="006D45BA">
        <w:rPr>
          <w:bCs/>
          <w:i/>
        </w:rPr>
        <w:t>Relative Response Factors</w:t>
      </w:r>
    </w:p>
    <w:p w14:paraId="2777D250" w14:textId="2E17B310" w:rsidR="008A58D4" w:rsidRDefault="008A58D4" w:rsidP="006D45BA">
      <w:r w:rsidRPr="00CF773B">
        <w:t>In making future-year predictions, the output from</w:t>
      </w:r>
      <w:r>
        <w:t xml:space="preserve"> the </w:t>
      </w:r>
      <w:proofErr w:type="spellStart"/>
      <w:r>
        <w:t>C</w:t>
      </w:r>
      <w:r w:rsidR="003B6669">
        <w:t>AMx</w:t>
      </w:r>
      <w:proofErr w:type="spellEnd"/>
      <w:r>
        <w:t xml:space="preserve"> </w:t>
      </w:r>
      <w:r w:rsidRPr="00CF773B">
        <w:t>model is not considered to be an absolute answer.  Rather, the model is used in a relative sense.  In doing so, a comparison is made using the predicted concentrations for both the year in question and a pre-selected base</w:t>
      </w:r>
      <w:r>
        <w:t xml:space="preserve">line </w:t>
      </w:r>
      <w:r w:rsidRPr="00CF773B">
        <w:t>y</w:t>
      </w:r>
      <w:r>
        <w:t>ear, which for this plan is 2017</w:t>
      </w:r>
      <w:r w:rsidRPr="00CF773B">
        <w:t>. This comparison results in a Relative Response Factor (RRF).</w:t>
      </w:r>
      <w:r>
        <w:t xml:space="preserve"> </w:t>
      </w:r>
    </w:p>
    <w:p w14:paraId="4222E618" w14:textId="499DE66F" w:rsidR="008A58D4" w:rsidRPr="0065339A" w:rsidRDefault="008A58D4" w:rsidP="006D45BA">
      <w:pPr>
        <w:rPr>
          <w:b/>
          <w:u w:val="single"/>
          <w:lang w:val="en"/>
        </w:rPr>
      </w:pPr>
      <w:bookmarkStart w:id="104" w:name="_Toc522890993"/>
      <w:r w:rsidRPr="0065339A">
        <w:rPr>
          <w:lang w:val="en"/>
        </w:rPr>
        <w:t>The UDAQ used the Software for Model Attainment Test - Community Edition (SMAT-CE) v. 1.01 utility from EPA</w:t>
      </w:r>
      <w:r w:rsidRPr="0065339A">
        <w:rPr>
          <w:vertAlign w:val="superscript"/>
          <w:lang w:val="en"/>
        </w:rPr>
        <w:footnoteReference w:id="25"/>
      </w:r>
      <w:r w:rsidRPr="0065339A">
        <w:rPr>
          <w:lang w:val="en"/>
        </w:rPr>
        <w:t xml:space="preserve"> to perform the modeled attainment test for daily PM</w:t>
      </w:r>
      <w:r w:rsidRPr="0065339A">
        <w:rPr>
          <w:vertAlign w:val="subscript"/>
          <w:lang w:val="en"/>
        </w:rPr>
        <w:t>2.5</w:t>
      </w:r>
      <w:r>
        <w:rPr>
          <w:lang w:val="en"/>
        </w:rPr>
        <w:t xml:space="preserve">. </w:t>
      </w:r>
      <w:r w:rsidRPr="0065339A">
        <w:rPr>
          <w:lang w:val="en"/>
        </w:rPr>
        <w:t>SMAT is designed to interpolate the species fractions of the PM mass from the Speciation Trends Network (STN) monitors to the FRM monitors.  It also calculates the RRF for grid cells near each monitor and uses these to calculate a future year design value for these grid cells. A grid of 3-by-3 (9) cells surrounding the monitors was used as the boundary for relative response factor (RRF) calculations.</w:t>
      </w:r>
      <w:bookmarkEnd w:id="104"/>
    </w:p>
    <w:p w14:paraId="4FE1F445" w14:textId="440172D7" w:rsidR="008A58D4" w:rsidRPr="0065339A" w:rsidRDefault="008A58D4" w:rsidP="006D45BA">
      <w:pPr>
        <w:rPr>
          <w:b/>
          <w:lang w:val="en"/>
        </w:rPr>
      </w:pPr>
      <w:bookmarkStart w:id="105" w:name="_Toc522890994"/>
      <w:r w:rsidRPr="0065339A">
        <w:rPr>
          <w:lang w:val="en"/>
        </w:rPr>
        <w:t xml:space="preserve">The State of Utah operates three Chemical Speciation Network (CSN) monitors: Hawthorne, Bountiful, </w:t>
      </w:r>
      <w:r w:rsidR="00E94497">
        <w:rPr>
          <w:lang w:val="en"/>
        </w:rPr>
        <w:t xml:space="preserve">and </w:t>
      </w:r>
      <w:r w:rsidRPr="0065339A">
        <w:rPr>
          <w:lang w:val="en"/>
        </w:rPr>
        <w:t xml:space="preserve">Lindon. Hawthorne is located in Salt Lake County, </w:t>
      </w:r>
      <w:r w:rsidR="00E94497">
        <w:rPr>
          <w:lang w:val="en"/>
        </w:rPr>
        <w:t>the</w:t>
      </w:r>
      <w:r w:rsidRPr="0065339A">
        <w:rPr>
          <w:lang w:val="en"/>
        </w:rPr>
        <w:t xml:space="preserve"> Bountiful</w:t>
      </w:r>
      <w:r w:rsidR="00E94497">
        <w:rPr>
          <w:lang w:val="en"/>
        </w:rPr>
        <w:t xml:space="preserve"> monitor</w:t>
      </w:r>
      <w:r w:rsidRPr="0065339A">
        <w:rPr>
          <w:lang w:val="en"/>
        </w:rPr>
        <w:t xml:space="preserve"> is in Davis to the </w:t>
      </w:r>
      <w:r w:rsidR="00974A48">
        <w:rPr>
          <w:lang w:val="en"/>
        </w:rPr>
        <w:t>n</w:t>
      </w:r>
      <w:r w:rsidRPr="0065339A">
        <w:rPr>
          <w:lang w:val="en"/>
        </w:rPr>
        <w:t xml:space="preserve">orth, and </w:t>
      </w:r>
      <w:r w:rsidR="00E94497">
        <w:rPr>
          <w:lang w:val="en"/>
        </w:rPr>
        <w:t xml:space="preserve">the </w:t>
      </w:r>
      <w:r w:rsidRPr="0065339A">
        <w:rPr>
          <w:lang w:val="en"/>
        </w:rPr>
        <w:t>Lindon</w:t>
      </w:r>
      <w:r w:rsidR="00E94497">
        <w:rPr>
          <w:lang w:val="en"/>
        </w:rPr>
        <w:t xml:space="preserve"> monitor </w:t>
      </w:r>
      <w:r w:rsidRPr="0065339A">
        <w:rPr>
          <w:lang w:val="en"/>
        </w:rPr>
        <w:t xml:space="preserve">is located in Utah County to the </w:t>
      </w:r>
      <w:r w:rsidR="00974A48">
        <w:rPr>
          <w:lang w:val="en"/>
        </w:rPr>
        <w:t>s</w:t>
      </w:r>
      <w:r w:rsidRPr="0065339A">
        <w:rPr>
          <w:lang w:val="en"/>
        </w:rPr>
        <w:t>outh. Of the three, Hawthorne samples one out of three days, while the other two sample one in six days.</w:t>
      </w:r>
      <w:bookmarkEnd w:id="105"/>
    </w:p>
    <w:p w14:paraId="2A64D4D5" w14:textId="666A7369" w:rsidR="008A58D4" w:rsidRPr="00CF773B" w:rsidRDefault="008A58D4" w:rsidP="006D45BA">
      <w:pPr>
        <w:rPr>
          <w:lang w:val="en"/>
        </w:rPr>
      </w:pPr>
      <w:bookmarkStart w:id="106" w:name="_Toc522890995"/>
      <w:r w:rsidRPr="0065339A">
        <w:rPr>
          <w:lang w:val="en"/>
        </w:rPr>
        <w:t>This mismatch in sampling frequency lead, initially, to interpolated speciation profiles that were unexpectedly non-uniform across the Salt Lake Valley. To create more realistic speciation profiles, the CSN data collected at the Hawthorne monitor were applied to all of the FRM sites in the SLC</w:t>
      </w:r>
      <w:r w:rsidR="004F78AD">
        <w:rPr>
          <w:lang w:val="en"/>
        </w:rPr>
        <w:t xml:space="preserve"> NAA</w:t>
      </w:r>
      <w:r w:rsidRPr="0065339A">
        <w:rPr>
          <w:lang w:val="en"/>
        </w:rPr>
        <w:t xml:space="preserve">.  UDAQ believes this is a reasonable assumption that is supported by recently conducted special studies.  Further discussion may be found in the </w:t>
      </w:r>
      <w:r w:rsidR="003B1878">
        <w:rPr>
          <w:lang w:val="en"/>
        </w:rPr>
        <w:t>TSD</w:t>
      </w:r>
      <w:r w:rsidRPr="0065339A">
        <w:rPr>
          <w:lang w:val="en"/>
        </w:rPr>
        <w:t>.</w:t>
      </w:r>
      <w:bookmarkEnd w:id="106"/>
    </w:p>
    <w:p w14:paraId="7945BA14" w14:textId="713888BB" w:rsidR="008A58D4" w:rsidRDefault="008A58D4" w:rsidP="006D45BA">
      <w:r w:rsidRPr="00CF773B">
        <w:t xml:space="preserve">For each monitor, the FDV is calculated by multiplying the </w:t>
      </w:r>
      <w:r w:rsidR="003B1878">
        <w:t>BDV</w:t>
      </w:r>
      <w:r w:rsidRPr="00CF773B">
        <w:t xml:space="preserve"> by the relative response factor: </w:t>
      </w:r>
      <w:r w:rsidRPr="00CF773B">
        <w:rPr>
          <w:b/>
        </w:rPr>
        <w:t>FDV = RRF * BDV</w:t>
      </w:r>
      <w:r w:rsidRPr="00CF773B">
        <w:t xml:space="preserve">. These FDV’s are compared to the NAAQS in order to determine whether attainment is predicted at that location or not.  The results for each of the monitors are shown below in </w:t>
      </w:r>
      <w:r w:rsidR="00737177">
        <w:t>Table IX.A.27.</w:t>
      </w:r>
      <w:r w:rsidR="00CC4AE6">
        <w:t>9</w:t>
      </w:r>
      <w:r w:rsidR="00737177">
        <w:t xml:space="preserve">. For all projected years and monitors, no FDV exceeds the NAAQS. Therefore, continued attainment is demonstrated for the </w:t>
      </w:r>
      <w:r w:rsidR="00737177" w:rsidRPr="000A78F9">
        <w:rPr>
          <w:color w:val="00B050"/>
        </w:rPr>
        <w:t>Provo NAA</w:t>
      </w:r>
      <w:r w:rsidR="00737177">
        <w:t>.</w:t>
      </w:r>
    </w:p>
    <w:p w14:paraId="74E985E6" w14:textId="2F471C45" w:rsidR="00EC1AD0" w:rsidRDefault="00EC1AD0" w:rsidP="00EC1AD0">
      <w:pPr>
        <w:pStyle w:val="Caption"/>
      </w:pP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915"/>
        <w:gridCol w:w="1915"/>
        <w:gridCol w:w="1915"/>
        <w:gridCol w:w="1915"/>
      </w:tblGrid>
      <w:tr w:rsidR="00603BC9" w:rsidRPr="00603BC9" w14:paraId="51D4A952" w14:textId="3BF3F5FE" w:rsidTr="00032781">
        <w:tc>
          <w:tcPr>
            <w:tcW w:w="1915" w:type="dxa"/>
            <w:shd w:val="clear" w:color="auto" w:fill="D9D9D9" w:themeFill="background1" w:themeFillShade="D9"/>
          </w:tcPr>
          <w:p w14:paraId="64C843BF" w14:textId="77777777" w:rsidR="00593E58" w:rsidRPr="00603BC9" w:rsidRDefault="00593E58" w:rsidP="00032781">
            <w:pPr>
              <w:rPr>
                <w:rFonts w:ascii="Arial" w:hAnsi="Arial" w:cs="Arial"/>
                <w:color w:val="00B050"/>
              </w:rPr>
            </w:pPr>
            <w:r w:rsidRPr="00603BC9">
              <w:rPr>
                <w:rFonts w:ascii="Arial" w:hAnsi="Arial" w:cs="Arial"/>
                <w:color w:val="00B050"/>
              </w:rPr>
              <w:t>Monitor Location</w:t>
            </w:r>
          </w:p>
        </w:tc>
        <w:tc>
          <w:tcPr>
            <w:tcW w:w="1915" w:type="dxa"/>
            <w:shd w:val="clear" w:color="auto" w:fill="D9D9D9" w:themeFill="background1" w:themeFillShade="D9"/>
          </w:tcPr>
          <w:p w14:paraId="71DBDD69" w14:textId="77777777" w:rsidR="00593E58" w:rsidRPr="00603BC9" w:rsidRDefault="00593E58" w:rsidP="00032781">
            <w:pPr>
              <w:rPr>
                <w:rFonts w:ascii="Arial" w:hAnsi="Arial" w:cs="Arial"/>
                <w:color w:val="00B050"/>
              </w:rPr>
            </w:pPr>
            <w:r w:rsidRPr="00603BC9">
              <w:rPr>
                <w:rFonts w:ascii="Arial" w:hAnsi="Arial" w:cs="Arial"/>
                <w:color w:val="00B050"/>
              </w:rPr>
              <w:t>2016-2018 BDV</w:t>
            </w:r>
          </w:p>
        </w:tc>
        <w:tc>
          <w:tcPr>
            <w:tcW w:w="1915" w:type="dxa"/>
            <w:shd w:val="clear" w:color="auto" w:fill="D9D9D9" w:themeFill="background1" w:themeFillShade="D9"/>
          </w:tcPr>
          <w:p w14:paraId="1AC9FBFC" w14:textId="215F15BA" w:rsidR="00593E58" w:rsidRPr="00603BC9" w:rsidRDefault="00593E58" w:rsidP="00032781">
            <w:pPr>
              <w:rPr>
                <w:rFonts w:ascii="Arial" w:hAnsi="Arial" w:cs="Arial"/>
                <w:color w:val="00B050"/>
              </w:rPr>
            </w:pPr>
            <w:r w:rsidRPr="00603BC9">
              <w:rPr>
                <w:rFonts w:ascii="Arial" w:hAnsi="Arial" w:cs="Arial"/>
                <w:color w:val="00B050"/>
              </w:rPr>
              <w:t>2026 FDV</w:t>
            </w:r>
          </w:p>
        </w:tc>
        <w:tc>
          <w:tcPr>
            <w:tcW w:w="1915" w:type="dxa"/>
            <w:shd w:val="clear" w:color="auto" w:fill="D9D9D9" w:themeFill="background1" w:themeFillShade="D9"/>
          </w:tcPr>
          <w:p w14:paraId="1930EE43" w14:textId="0EBA4615" w:rsidR="00593E58" w:rsidRPr="00603BC9" w:rsidRDefault="00593E58" w:rsidP="00032781">
            <w:pPr>
              <w:rPr>
                <w:rFonts w:ascii="Arial" w:hAnsi="Arial" w:cs="Arial"/>
                <w:color w:val="00B050"/>
              </w:rPr>
            </w:pPr>
            <w:r w:rsidRPr="00603BC9">
              <w:rPr>
                <w:rFonts w:ascii="Arial" w:hAnsi="Arial" w:cs="Arial"/>
                <w:color w:val="00B050"/>
              </w:rPr>
              <w:t>2035 FDV</w:t>
            </w:r>
            <w:r w:rsidR="00A50BE2">
              <w:rPr>
                <w:rFonts w:ascii="Arial" w:hAnsi="Arial" w:cs="Arial"/>
                <w:color w:val="00B050"/>
              </w:rPr>
              <w:t>*</w:t>
            </w:r>
          </w:p>
        </w:tc>
      </w:tr>
      <w:tr w:rsidR="00593E58" w:rsidRPr="00603BC9" w14:paraId="4F769115" w14:textId="053143C7" w:rsidTr="00032781">
        <w:trPr>
          <w:trHeight w:val="98"/>
        </w:trPr>
        <w:tc>
          <w:tcPr>
            <w:tcW w:w="1915" w:type="dxa"/>
          </w:tcPr>
          <w:p w14:paraId="18CD9072" w14:textId="77777777" w:rsidR="00593E58" w:rsidRPr="00603BC9" w:rsidRDefault="00593E58" w:rsidP="00032781">
            <w:pPr>
              <w:rPr>
                <w:rFonts w:ascii="Arial" w:hAnsi="Arial" w:cs="Arial"/>
                <w:color w:val="00B050"/>
              </w:rPr>
            </w:pPr>
            <w:r w:rsidRPr="00603BC9">
              <w:rPr>
                <w:rFonts w:ascii="Arial" w:hAnsi="Arial" w:cs="Arial"/>
                <w:color w:val="00B050"/>
              </w:rPr>
              <w:t>Lindon</w:t>
            </w:r>
          </w:p>
        </w:tc>
        <w:tc>
          <w:tcPr>
            <w:tcW w:w="1915" w:type="dxa"/>
          </w:tcPr>
          <w:p w14:paraId="212B25C8" w14:textId="74A9B191" w:rsidR="00593E58" w:rsidRPr="00603BC9" w:rsidRDefault="00593E58" w:rsidP="00032781">
            <w:pPr>
              <w:rPr>
                <w:rFonts w:ascii="Arial" w:hAnsi="Arial" w:cs="Arial"/>
                <w:color w:val="00B050"/>
              </w:rPr>
            </w:pPr>
            <w:r w:rsidRPr="00603BC9">
              <w:rPr>
                <w:rFonts w:ascii="Arial" w:hAnsi="Arial" w:cs="Arial"/>
                <w:color w:val="00B050"/>
              </w:rPr>
              <w:t>31.1</w:t>
            </w:r>
          </w:p>
        </w:tc>
        <w:tc>
          <w:tcPr>
            <w:tcW w:w="1915" w:type="dxa"/>
          </w:tcPr>
          <w:p w14:paraId="0F551E42" w14:textId="366901C8" w:rsidR="00593E58" w:rsidRPr="00603BC9" w:rsidRDefault="00593E58" w:rsidP="00032781">
            <w:pPr>
              <w:rPr>
                <w:rFonts w:ascii="Arial" w:hAnsi="Arial" w:cs="Arial"/>
                <w:color w:val="00B050"/>
              </w:rPr>
            </w:pPr>
            <w:r w:rsidRPr="00603BC9">
              <w:rPr>
                <w:rFonts w:ascii="Arial" w:hAnsi="Arial" w:cs="Arial"/>
                <w:color w:val="00B050"/>
              </w:rPr>
              <w:t>29.</w:t>
            </w:r>
            <w:r w:rsidR="0008754C">
              <w:rPr>
                <w:rFonts w:ascii="Arial" w:hAnsi="Arial" w:cs="Arial"/>
                <w:color w:val="00B050"/>
              </w:rPr>
              <w:t>3</w:t>
            </w:r>
          </w:p>
        </w:tc>
        <w:tc>
          <w:tcPr>
            <w:tcW w:w="1915" w:type="dxa"/>
          </w:tcPr>
          <w:p w14:paraId="4E01EF0D" w14:textId="4ACD7191" w:rsidR="00593E58" w:rsidRPr="00603BC9" w:rsidRDefault="00593E58" w:rsidP="00032781">
            <w:pPr>
              <w:rPr>
                <w:rFonts w:ascii="Arial" w:hAnsi="Arial" w:cs="Arial"/>
                <w:color w:val="00B050"/>
              </w:rPr>
            </w:pPr>
            <w:r w:rsidRPr="00603BC9">
              <w:rPr>
                <w:rFonts w:ascii="Arial" w:hAnsi="Arial" w:cs="Arial"/>
                <w:color w:val="00B050"/>
              </w:rPr>
              <w:t>29.</w:t>
            </w:r>
            <w:r w:rsidR="00CD1FDE">
              <w:rPr>
                <w:rFonts w:ascii="Arial" w:hAnsi="Arial" w:cs="Arial"/>
                <w:color w:val="00B050"/>
              </w:rPr>
              <w:t>5</w:t>
            </w:r>
          </w:p>
        </w:tc>
      </w:tr>
      <w:tr w:rsidR="004F78AD" w:rsidRPr="00603BC9" w14:paraId="3DA6D13A" w14:textId="3B3CA3AF" w:rsidTr="00032781">
        <w:trPr>
          <w:trHeight w:val="98"/>
        </w:trPr>
        <w:tc>
          <w:tcPr>
            <w:tcW w:w="1915" w:type="dxa"/>
          </w:tcPr>
          <w:p w14:paraId="12A8BAEF" w14:textId="77777777" w:rsidR="00593E58" w:rsidRPr="00603BC9" w:rsidRDefault="00593E58" w:rsidP="00032781">
            <w:pPr>
              <w:rPr>
                <w:rFonts w:ascii="Arial" w:hAnsi="Arial" w:cs="Arial"/>
                <w:color w:val="00B050"/>
              </w:rPr>
            </w:pPr>
            <w:r w:rsidRPr="00603BC9">
              <w:rPr>
                <w:rFonts w:ascii="Arial" w:hAnsi="Arial" w:cs="Arial"/>
                <w:color w:val="00B050"/>
              </w:rPr>
              <w:t>Spanish Fork</w:t>
            </w:r>
          </w:p>
        </w:tc>
        <w:tc>
          <w:tcPr>
            <w:tcW w:w="1915" w:type="dxa"/>
          </w:tcPr>
          <w:p w14:paraId="6E18104E" w14:textId="1D41E297" w:rsidR="00593E58" w:rsidRPr="00603BC9" w:rsidRDefault="00593E58" w:rsidP="00032781">
            <w:pPr>
              <w:rPr>
                <w:rFonts w:ascii="Arial" w:hAnsi="Arial" w:cs="Arial"/>
                <w:color w:val="00B050"/>
              </w:rPr>
            </w:pPr>
            <w:r w:rsidRPr="00603BC9">
              <w:rPr>
                <w:rFonts w:ascii="Arial" w:hAnsi="Arial" w:cs="Arial"/>
                <w:color w:val="00B050"/>
              </w:rPr>
              <w:t>28.4</w:t>
            </w:r>
            <w:r w:rsidR="00D20243">
              <w:rPr>
                <w:rFonts w:ascii="Arial" w:hAnsi="Arial" w:cs="Arial"/>
                <w:color w:val="00B050"/>
              </w:rPr>
              <w:t>*</w:t>
            </w:r>
            <w:r w:rsidR="00A50BE2">
              <w:rPr>
                <w:rFonts w:ascii="Arial" w:hAnsi="Arial" w:cs="Arial"/>
                <w:color w:val="00B050"/>
              </w:rPr>
              <w:t>*</w:t>
            </w:r>
          </w:p>
        </w:tc>
        <w:tc>
          <w:tcPr>
            <w:tcW w:w="1915" w:type="dxa"/>
          </w:tcPr>
          <w:p w14:paraId="2C3663FE" w14:textId="7DAD18E8" w:rsidR="00593E58" w:rsidRPr="00603BC9" w:rsidRDefault="00593E58" w:rsidP="00032781">
            <w:pPr>
              <w:rPr>
                <w:rFonts w:ascii="Arial" w:hAnsi="Arial" w:cs="Arial"/>
                <w:color w:val="00B050"/>
              </w:rPr>
            </w:pPr>
            <w:r w:rsidRPr="00603BC9">
              <w:rPr>
                <w:rFonts w:ascii="Arial" w:hAnsi="Arial" w:cs="Arial"/>
                <w:color w:val="00B050"/>
              </w:rPr>
              <w:t>28.4</w:t>
            </w:r>
          </w:p>
        </w:tc>
        <w:tc>
          <w:tcPr>
            <w:tcW w:w="1915" w:type="dxa"/>
          </w:tcPr>
          <w:p w14:paraId="206041E0" w14:textId="73FE3E12" w:rsidR="00593E58" w:rsidRPr="00603BC9" w:rsidRDefault="00593E58" w:rsidP="00B1647C">
            <w:pPr>
              <w:keepNext/>
              <w:rPr>
                <w:rFonts w:ascii="Arial" w:hAnsi="Arial" w:cs="Arial"/>
                <w:color w:val="00B050"/>
              </w:rPr>
            </w:pPr>
            <w:r w:rsidRPr="00603BC9">
              <w:rPr>
                <w:rFonts w:ascii="Arial" w:hAnsi="Arial" w:cs="Arial"/>
                <w:color w:val="00B050"/>
              </w:rPr>
              <w:t>28.4</w:t>
            </w:r>
          </w:p>
        </w:tc>
      </w:tr>
    </w:tbl>
    <w:p w14:paraId="03009525" w14:textId="4A29FA2B" w:rsidR="008A58D4" w:rsidRPr="00EC1AD0" w:rsidRDefault="00B1647C" w:rsidP="00EC1AD0">
      <w:pPr>
        <w:pStyle w:val="Caption"/>
      </w:pPr>
      <w:bookmarkStart w:id="107" w:name="_Toc15906995"/>
      <w:bookmarkStart w:id="108" w:name="_Toc17201283"/>
      <w:r>
        <w:t xml:space="preserve">Table IX.A.27. </w:t>
      </w:r>
      <w:fldSimple w:instr=" SEQ Table_IX.A.27. \* ARABIC ">
        <w:r w:rsidR="00C012A9">
          <w:rPr>
            <w:noProof/>
          </w:rPr>
          <w:t>9</w:t>
        </w:r>
      </w:fldSimple>
      <w:r w:rsidRPr="00B1647C">
        <w:t xml:space="preserve"> </w:t>
      </w:r>
      <w:r w:rsidRPr="00EC1AD0">
        <w:t>Baseline and Future Design Values (ug/m</w:t>
      </w:r>
      <w:r w:rsidRPr="00B1647C">
        <w:rPr>
          <w:vertAlign w:val="superscript"/>
        </w:rPr>
        <w:t>3</w:t>
      </w:r>
      <w:r w:rsidRPr="00EC1AD0">
        <w:t>) at Monitors in Provo NAA</w:t>
      </w:r>
      <w:bookmarkEnd w:id="107"/>
      <w:bookmarkEnd w:id="108"/>
    </w:p>
    <w:p w14:paraId="72EF8289" w14:textId="19DADE25" w:rsidR="00A50BE2" w:rsidRDefault="00A50BE2" w:rsidP="00A50BE2">
      <w:pPr>
        <w:spacing w:after="0"/>
      </w:pPr>
      <w:r>
        <w:t>*These values include additional emission</w:t>
      </w:r>
      <w:r w:rsidR="00F656F5">
        <w:t>s added to the MAG MVEB</w:t>
      </w:r>
      <w:r>
        <w:t xml:space="preserve"> from </w:t>
      </w:r>
      <w:r w:rsidR="00F656F5">
        <w:t xml:space="preserve">the </w:t>
      </w:r>
      <w:r>
        <w:t>safety margin</w:t>
      </w:r>
    </w:p>
    <w:p w14:paraId="16F20DC4" w14:textId="039E820B" w:rsidR="000A78F9" w:rsidRDefault="00BD0D57" w:rsidP="00A50BE2">
      <w:r>
        <w:t>*</w:t>
      </w:r>
      <w:r w:rsidR="00A50BE2">
        <w:t>*</w:t>
      </w:r>
      <w:r>
        <w:t>Th</w:t>
      </w:r>
      <w:r w:rsidR="00127866">
        <w:t>is</w:t>
      </w:r>
      <w:r>
        <w:t xml:space="preserve"> value exclude</w:t>
      </w:r>
      <w:r w:rsidR="00127866">
        <w:t>s</w:t>
      </w:r>
      <w:r>
        <w:t xml:space="preserve"> data from atypical events</w:t>
      </w:r>
      <w:r w:rsidR="00E94497">
        <w:t xml:space="preserve"> discussed in the BDV section</w:t>
      </w:r>
    </w:p>
    <w:bookmarkEnd w:id="103"/>
    <w:p w14:paraId="29964D5C" w14:textId="55DABB86" w:rsidR="004C1422" w:rsidRDefault="00737177" w:rsidP="002E63CC">
      <w:pPr>
        <w:pStyle w:val="Heading2"/>
        <w:numPr>
          <w:ilvl w:val="0"/>
          <w:numId w:val="0"/>
        </w:numPr>
      </w:pPr>
      <w:r w:rsidRPr="00C82B28">
        <w:t xml:space="preserve"> </w:t>
      </w:r>
      <w:bookmarkStart w:id="109" w:name="_Toc17201207"/>
      <w:r w:rsidR="004C1422" w:rsidRPr="00C82B28">
        <w:t>(2) Attainment Inventory</w:t>
      </w:r>
      <w:bookmarkEnd w:id="109"/>
      <w:r w:rsidR="004C1422" w:rsidRPr="00C82B28">
        <w:t xml:space="preserve"> </w:t>
      </w:r>
    </w:p>
    <w:p w14:paraId="062295D2" w14:textId="77777777" w:rsidR="00182835" w:rsidRPr="00DF0F4F" w:rsidRDefault="00182835" w:rsidP="006D45BA">
      <w:r w:rsidRPr="00DF0F4F">
        <w:t>The attainment inventory is dis</w:t>
      </w:r>
      <w:r w:rsidR="00083F27">
        <w:t>cussed in EPA guidance</w:t>
      </w:r>
      <w:r w:rsidR="00083F27">
        <w:rPr>
          <w:rStyle w:val="FootnoteReference"/>
        </w:rPr>
        <w:footnoteReference w:id="26"/>
      </w:r>
      <w:r w:rsidRPr="00DF0F4F">
        <w:t xml:space="preserve"> as another one of the core provisions that should be considered by states for inclusion in a maintenance plan.</w:t>
      </w:r>
      <w:r>
        <w:t xml:space="preserve"> </w:t>
      </w:r>
      <w:r w:rsidR="00083F27">
        <w:t>According to the guidance</w:t>
      </w:r>
      <w:r w:rsidRPr="00DF0F4F">
        <w:t>, the stated purpose of the attainment inventory is to establish the level of emissions during the time periods associated with monitoring data showing attainment.</w:t>
      </w:r>
    </w:p>
    <w:p w14:paraId="77DA5321" w14:textId="216A9480" w:rsidR="00182835" w:rsidRPr="00DF0F4F" w:rsidRDefault="00182835" w:rsidP="006D45BA">
      <w:pPr>
        <w:rPr>
          <w:rFonts w:eastAsia="Times New Roman" w:cs="Times New Roman"/>
        </w:rPr>
      </w:pPr>
      <w:r w:rsidRPr="00DF0F4F">
        <w:rPr>
          <w:rFonts w:eastAsia="Times New Roman" w:cs="Times New Roman"/>
        </w:rPr>
        <w:t xml:space="preserve">In cases such as this, where a maintenance demonstration is founded on a modeling analysis that is used in a relative sense, the </w:t>
      </w:r>
      <w:r>
        <w:rPr>
          <w:rFonts w:eastAsia="Times New Roman" w:cs="Times New Roman"/>
        </w:rPr>
        <w:t xml:space="preserve">modeled </w:t>
      </w:r>
      <w:r w:rsidRPr="00DF0F4F">
        <w:rPr>
          <w:rFonts w:eastAsia="Times New Roman" w:cs="Times New Roman"/>
        </w:rPr>
        <w:t xml:space="preserve">baseline inventory </w:t>
      </w:r>
      <w:r>
        <w:rPr>
          <w:rFonts w:eastAsia="Times New Roman" w:cs="Times New Roman"/>
        </w:rPr>
        <w:t>is used</w:t>
      </w:r>
      <w:r w:rsidRPr="00DF0F4F">
        <w:rPr>
          <w:rFonts w:eastAsia="Times New Roman" w:cs="Times New Roman"/>
        </w:rPr>
        <w:t xml:space="preserve"> for comparison with</w:t>
      </w:r>
      <w:r>
        <w:rPr>
          <w:rFonts w:eastAsia="Times New Roman" w:cs="Times New Roman"/>
        </w:rPr>
        <w:t xml:space="preserve"> every projection year model run</w:t>
      </w:r>
      <w:r w:rsidRPr="00DF0F4F">
        <w:rPr>
          <w:rFonts w:eastAsia="Times New Roman" w:cs="Times New Roman"/>
        </w:rPr>
        <w:t>.</w:t>
      </w:r>
      <w:r>
        <w:rPr>
          <w:rFonts w:eastAsia="Times New Roman" w:cs="Times New Roman"/>
        </w:rPr>
        <w:t xml:space="preserve"> </w:t>
      </w:r>
      <w:r w:rsidRPr="00DF0F4F">
        <w:rPr>
          <w:rFonts w:eastAsia="Times New Roman" w:cs="Times New Roman"/>
        </w:rPr>
        <w:t xml:space="preserve">For this analysis, </w:t>
      </w:r>
      <w:r w:rsidR="00DC4703">
        <w:rPr>
          <w:rFonts w:eastAsia="Times New Roman" w:cs="Times New Roman"/>
        </w:rPr>
        <w:t>the State compiled a</w:t>
      </w:r>
      <w:r w:rsidR="00DC4703" w:rsidRPr="00DF0F4F">
        <w:rPr>
          <w:rFonts w:eastAsia="Times New Roman" w:cs="Times New Roman"/>
        </w:rPr>
        <w:t xml:space="preserve"> </w:t>
      </w:r>
      <w:proofErr w:type="spellStart"/>
      <w:r w:rsidRPr="00DF0F4F">
        <w:rPr>
          <w:rFonts w:eastAsia="Times New Roman" w:cs="Times New Roman"/>
        </w:rPr>
        <w:t>base</w:t>
      </w:r>
      <w:r w:rsidR="0041141B">
        <w:rPr>
          <w:rFonts w:eastAsia="Times New Roman" w:cs="Times New Roman"/>
        </w:rPr>
        <w:t>year</w:t>
      </w:r>
      <w:proofErr w:type="spellEnd"/>
      <w:r w:rsidRPr="00DF0F4F">
        <w:rPr>
          <w:rFonts w:eastAsia="Times New Roman" w:cs="Times New Roman"/>
        </w:rPr>
        <w:t xml:space="preserve"> inventory </w:t>
      </w:r>
      <w:r>
        <w:rPr>
          <w:rFonts w:eastAsia="Times New Roman" w:cs="Times New Roman"/>
        </w:rPr>
        <w:t xml:space="preserve">for the year 2017. </w:t>
      </w:r>
      <w:r w:rsidRPr="00DF0F4F">
        <w:rPr>
          <w:rFonts w:eastAsia="Times New Roman" w:cs="Times New Roman"/>
        </w:rPr>
        <w:t>This year falls within the span of data representing current attainment of the PM</w:t>
      </w:r>
      <w:r>
        <w:rPr>
          <w:rFonts w:eastAsia="Times New Roman" w:cs="Times New Roman"/>
          <w:vertAlign w:val="subscript"/>
        </w:rPr>
        <w:t>2.5</w:t>
      </w:r>
      <w:r w:rsidR="003C6A8D">
        <w:rPr>
          <w:rFonts w:eastAsia="Times New Roman" w:cs="Times New Roman"/>
        </w:rPr>
        <w:t xml:space="preserve"> NAAQS. The guidance</w:t>
      </w:r>
      <w:r w:rsidRPr="00DF0F4F">
        <w:rPr>
          <w:rFonts w:eastAsia="Times New Roman" w:cs="Times New Roman"/>
        </w:rPr>
        <w:t xml:space="preserve"> </w:t>
      </w:r>
      <w:r w:rsidR="00DC4703">
        <w:rPr>
          <w:rFonts w:eastAsia="Times New Roman" w:cs="Times New Roman"/>
        </w:rPr>
        <w:t>discusses</w:t>
      </w:r>
      <w:r w:rsidR="001D62A6">
        <w:rPr>
          <w:rFonts w:eastAsia="Times New Roman" w:cs="Times New Roman"/>
        </w:rPr>
        <w:t xml:space="preserve"> the projection inventories</w:t>
      </w:r>
      <w:r w:rsidRPr="00DF0F4F">
        <w:rPr>
          <w:rFonts w:eastAsia="Times New Roman" w:cs="Times New Roman"/>
        </w:rPr>
        <w:t xml:space="preserve"> as well, and notes that </w:t>
      </w:r>
      <w:r w:rsidR="00692527">
        <w:rPr>
          <w:rFonts w:eastAsia="Times New Roman" w:cs="Times New Roman"/>
        </w:rPr>
        <w:t>they</w:t>
      </w:r>
      <w:r w:rsidRPr="00DF0F4F">
        <w:rPr>
          <w:rFonts w:eastAsia="Times New Roman" w:cs="Times New Roman"/>
        </w:rPr>
        <w:t xml:space="preserve"> should consider future growth, including population and industry, sho</w:t>
      </w:r>
      <w:r>
        <w:rPr>
          <w:rFonts w:eastAsia="Times New Roman" w:cs="Times New Roman"/>
        </w:rPr>
        <w:t xml:space="preserve">uld be consistent with the </w:t>
      </w:r>
      <w:proofErr w:type="spellStart"/>
      <w:r>
        <w:rPr>
          <w:rFonts w:eastAsia="Times New Roman" w:cs="Times New Roman"/>
        </w:rPr>
        <w:t>base</w:t>
      </w:r>
      <w:r w:rsidRPr="00DF0F4F">
        <w:rPr>
          <w:rFonts w:eastAsia="Times New Roman" w:cs="Times New Roman"/>
        </w:rPr>
        <w:t>year</w:t>
      </w:r>
      <w:proofErr w:type="spellEnd"/>
      <w:r w:rsidRPr="00DF0F4F">
        <w:rPr>
          <w:rFonts w:eastAsia="Times New Roman" w:cs="Times New Roman"/>
        </w:rPr>
        <w:t xml:space="preserve"> inventory, and should docume</w:t>
      </w:r>
      <w:r>
        <w:rPr>
          <w:rFonts w:eastAsia="Times New Roman" w:cs="Times New Roman"/>
        </w:rPr>
        <w:t>nt data inputs and assumptions.</w:t>
      </w:r>
      <w:r w:rsidRPr="00DF0F4F">
        <w:rPr>
          <w:rFonts w:eastAsia="Times New Roman" w:cs="Times New Roman"/>
        </w:rPr>
        <w:t xml:space="preserve"> Any assumptions concerning emission rates must reflect permanent, enforceable measures.</w:t>
      </w:r>
    </w:p>
    <w:p w14:paraId="0DB421E3" w14:textId="20E267B2" w:rsidR="00182835" w:rsidRPr="00DF0F4F" w:rsidRDefault="00182835" w:rsidP="006D45BA">
      <w:pPr>
        <w:rPr>
          <w:rFonts w:eastAsia="Times New Roman" w:cs="Times New Roman"/>
        </w:rPr>
      </w:pPr>
      <w:r w:rsidRPr="00DF0F4F">
        <w:rPr>
          <w:rFonts w:eastAsia="Times New Roman" w:cs="Times New Roman"/>
        </w:rPr>
        <w:t>Utah compiled projection inventories for use in the quanti</w:t>
      </w:r>
      <w:r>
        <w:rPr>
          <w:rFonts w:eastAsia="Times New Roman" w:cs="Times New Roman"/>
        </w:rPr>
        <w:t xml:space="preserve">tative modeling demonstration. </w:t>
      </w:r>
      <w:r w:rsidRPr="00DF0F4F">
        <w:rPr>
          <w:rFonts w:eastAsia="Times New Roman" w:cs="Times New Roman"/>
        </w:rPr>
        <w:t>The years selected for projectio</w:t>
      </w:r>
      <w:r>
        <w:rPr>
          <w:rFonts w:eastAsia="Times New Roman" w:cs="Times New Roman"/>
        </w:rPr>
        <w:t xml:space="preserve">n include 2026 and 2035. </w:t>
      </w:r>
      <w:r w:rsidRPr="00DF0F4F">
        <w:rPr>
          <w:rFonts w:eastAsia="Times New Roman" w:cs="Times New Roman"/>
        </w:rPr>
        <w:t xml:space="preserve">The emissions contained in the inventories include sources located within </w:t>
      </w:r>
      <w:r>
        <w:rPr>
          <w:rFonts w:eastAsia="Times New Roman" w:cs="Times New Roman"/>
        </w:rPr>
        <w:t>the modeling domain</w:t>
      </w:r>
      <w:r w:rsidR="00A46918">
        <w:rPr>
          <w:rFonts w:eastAsia="Times New Roman" w:cs="Times New Roman"/>
        </w:rPr>
        <w:t xml:space="preserve">, </w:t>
      </w:r>
      <w:r>
        <w:rPr>
          <w:rFonts w:eastAsia="Times New Roman" w:cs="Times New Roman"/>
        </w:rPr>
        <w:t>encompass</w:t>
      </w:r>
      <w:r w:rsidR="00A46918">
        <w:rPr>
          <w:rFonts w:eastAsia="Times New Roman" w:cs="Times New Roman"/>
        </w:rPr>
        <w:t>ing</w:t>
      </w:r>
      <w:r>
        <w:rPr>
          <w:rFonts w:eastAsia="Times New Roman" w:cs="Times New Roman"/>
        </w:rPr>
        <w:t xml:space="preserve"> all three </w:t>
      </w:r>
      <w:r w:rsidR="001D62A6" w:rsidRPr="00DF0F4F">
        <w:rPr>
          <w:rFonts w:eastAsia="Times New Roman" w:cs="Times New Roman"/>
        </w:rPr>
        <w:t>PM</w:t>
      </w:r>
      <w:r w:rsidR="001D62A6">
        <w:rPr>
          <w:rFonts w:eastAsia="Times New Roman" w:cs="Times New Roman"/>
          <w:vertAlign w:val="subscript"/>
        </w:rPr>
        <w:t>2.5</w:t>
      </w:r>
      <w:r>
        <w:rPr>
          <w:rFonts w:eastAsia="Times New Roman" w:cs="Times New Roman"/>
        </w:rPr>
        <w:t xml:space="preserve"> nonattainment areas</w:t>
      </w:r>
      <w:r w:rsidR="00A46918">
        <w:rPr>
          <w:rFonts w:eastAsia="Times New Roman" w:cs="Times New Roman"/>
        </w:rPr>
        <w:t>,</w:t>
      </w:r>
      <w:r>
        <w:rPr>
          <w:rFonts w:eastAsia="Times New Roman" w:cs="Times New Roman"/>
        </w:rPr>
        <w:t xml:space="preserve"> </w:t>
      </w:r>
      <w:r w:rsidRPr="00DF0F4F">
        <w:rPr>
          <w:rFonts w:eastAsia="Times New Roman" w:cs="Times New Roman"/>
        </w:rPr>
        <w:t xml:space="preserve">as well as a bordering </w:t>
      </w:r>
      <w:r w:rsidRPr="004B7617">
        <w:rPr>
          <w:rFonts w:eastAsia="Times New Roman" w:cs="Times New Roman"/>
        </w:rPr>
        <w:t>region</w:t>
      </w:r>
      <w:r w:rsidR="00DC4703" w:rsidRPr="004B7617">
        <w:rPr>
          <w:rFonts w:eastAsia="Times New Roman" w:cs="Times New Roman"/>
        </w:rPr>
        <w:t>. S</w:t>
      </w:r>
      <w:r w:rsidRPr="004B7617">
        <w:rPr>
          <w:rFonts w:eastAsia="Times New Roman" w:cs="Times New Roman"/>
        </w:rPr>
        <w:t xml:space="preserve">ee Figure </w:t>
      </w:r>
      <w:r w:rsidRPr="008537E2">
        <w:rPr>
          <w:rFonts w:eastAsia="Times New Roman" w:cs="Times New Roman"/>
          <w:color w:val="00B050"/>
        </w:rPr>
        <w:t>IX.A.</w:t>
      </w:r>
      <w:r w:rsidR="00B43E24" w:rsidRPr="008537E2">
        <w:rPr>
          <w:rFonts w:eastAsia="Times New Roman" w:cs="Times New Roman"/>
          <w:bCs/>
          <w:color w:val="00B050"/>
          <w:szCs w:val="20"/>
        </w:rPr>
        <w:t>27</w:t>
      </w:r>
      <w:r w:rsidR="001D62A6" w:rsidRPr="008537E2">
        <w:rPr>
          <w:rFonts w:eastAsia="Times New Roman" w:cs="Times New Roman"/>
          <w:color w:val="00B050"/>
        </w:rPr>
        <w:t>.</w:t>
      </w:r>
      <w:r w:rsidR="008537E2" w:rsidRPr="008537E2">
        <w:rPr>
          <w:rFonts w:eastAsia="Times New Roman" w:cs="Times New Roman"/>
          <w:color w:val="00B050"/>
        </w:rPr>
        <w:t>4</w:t>
      </w:r>
      <w:r w:rsidRPr="004B7617">
        <w:rPr>
          <w:rFonts w:eastAsia="Times New Roman" w:cs="Times New Roman"/>
        </w:rPr>
        <w:t>.</w:t>
      </w:r>
    </w:p>
    <w:p w14:paraId="5284AF8C" w14:textId="28B0D196" w:rsidR="00182835" w:rsidRPr="00903A57" w:rsidRDefault="00182835" w:rsidP="006D45BA">
      <w:pPr>
        <w:rPr>
          <w:rFonts w:eastAsia="Times New Roman" w:cs="Times New Roman"/>
        </w:rPr>
      </w:pPr>
      <w:r w:rsidRPr="00903A57">
        <w:rPr>
          <w:rFonts w:eastAsia="Times New Roman" w:cs="Times New Roman"/>
        </w:rPr>
        <w:t>Since this bordering region is so large</w:t>
      </w:r>
      <w:r w:rsidR="00013734">
        <w:rPr>
          <w:rFonts w:eastAsia="Times New Roman" w:cs="Times New Roman"/>
        </w:rPr>
        <w:t>,</w:t>
      </w:r>
      <w:r w:rsidRPr="00903A57">
        <w:rPr>
          <w:rFonts w:eastAsia="Times New Roman" w:cs="Times New Roman"/>
        </w:rPr>
        <w:t xml:space="preserve"> </w:t>
      </w:r>
      <w:r w:rsidR="00013734">
        <w:rPr>
          <w:rFonts w:eastAsia="Times New Roman" w:cs="Times New Roman"/>
        </w:rPr>
        <w:t xml:space="preserve">the State identified </w:t>
      </w:r>
      <w:r w:rsidRPr="00903A57">
        <w:rPr>
          <w:rFonts w:eastAsia="Times New Roman" w:cs="Times New Roman"/>
        </w:rPr>
        <w:t>a “core area” within this domain wherein a higher degree of accuracy is important.  Within this core area (which includes Weber, Davis, Salt Lake, Utah, Box Elder, Tooele, Cache</w:t>
      </w:r>
      <w:r w:rsidR="00CC4AE6">
        <w:rPr>
          <w:rFonts w:eastAsia="Times New Roman" w:cs="Times New Roman"/>
        </w:rPr>
        <w:t>,</w:t>
      </w:r>
      <w:r w:rsidRPr="00903A57">
        <w:rPr>
          <w:rFonts w:eastAsia="Times New Roman" w:cs="Times New Roman"/>
        </w:rPr>
        <w:t xml:space="preserve"> and Franklin, </w:t>
      </w:r>
      <w:r w:rsidR="00FB740D">
        <w:rPr>
          <w:rFonts w:eastAsia="Times New Roman" w:cs="Times New Roman"/>
        </w:rPr>
        <w:t>ID</w:t>
      </w:r>
      <w:r w:rsidRPr="00903A57">
        <w:rPr>
          <w:rFonts w:eastAsia="Times New Roman" w:cs="Times New Roman"/>
        </w:rPr>
        <w:t xml:space="preserve"> counties), SIP-specific inventories were prepared to include seasonal adjustments and forecasting to represent each of the projection years. In the bordering regions away from this core, the </w:t>
      </w:r>
      <w:r w:rsidR="00013734">
        <w:rPr>
          <w:rFonts w:eastAsia="Times New Roman" w:cs="Times New Roman"/>
        </w:rPr>
        <w:t xml:space="preserve">State used the </w:t>
      </w:r>
      <w:r w:rsidR="00FB740D">
        <w:rPr>
          <w:rFonts w:eastAsia="Times New Roman" w:cs="Times New Roman"/>
        </w:rPr>
        <w:t xml:space="preserve">most current </w:t>
      </w:r>
      <w:r w:rsidRPr="00E72BD7">
        <w:rPr>
          <w:rFonts w:eastAsia="Times New Roman" w:cs="Times New Roman"/>
        </w:rPr>
        <w:t xml:space="preserve">National </w:t>
      </w:r>
      <w:r w:rsidRPr="00903A57">
        <w:rPr>
          <w:rFonts w:eastAsia="Times New Roman" w:cs="Times New Roman"/>
        </w:rPr>
        <w:t>Emissions Inventory</w:t>
      </w:r>
      <w:r w:rsidR="00FB740D">
        <w:rPr>
          <w:rFonts w:eastAsia="Times New Roman" w:cs="Times New Roman"/>
        </w:rPr>
        <w:t xml:space="preserve"> (2014)</w:t>
      </w:r>
      <w:r w:rsidRPr="00903A57">
        <w:rPr>
          <w:rFonts w:eastAsia="Times New Roman" w:cs="Times New Roman"/>
        </w:rPr>
        <w:t xml:space="preserve"> </w:t>
      </w:r>
      <w:r w:rsidR="00013734">
        <w:rPr>
          <w:rFonts w:eastAsia="Times New Roman" w:cs="Times New Roman"/>
        </w:rPr>
        <w:t>from</w:t>
      </w:r>
      <w:r w:rsidRPr="00903A57">
        <w:rPr>
          <w:rFonts w:eastAsia="Times New Roman" w:cs="Times New Roman"/>
        </w:rPr>
        <w:t xml:space="preserve"> EPA for </w:t>
      </w:r>
      <w:r w:rsidR="00013734">
        <w:rPr>
          <w:rFonts w:eastAsia="Times New Roman" w:cs="Times New Roman"/>
        </w:rPr>
        <w:t xml:space="preserve">the </w:t>
      </w:r>
      <w:r w:rsidRPr="00903A57">
        <w:rPr>
          <w:rFonts w:eastAsia="Times New Roman" w:cs="Times New Roman"/>
        </w:rPr>
        <w:t xml:space="preserve">analysis.  </w:t>
      </w:r>
    </w:p>
    <w:p w14:paraId="474F5C89" w14:textId="68967788" w:rsidR="00182835" w:rsidRPr="00DF0F4F" w:rsidRDefault="00182835" w:rsidP="006D45BA">
      <w:pPr>
        <w:rPr>
          <w:rFonts w:eastAsia="Times New Roman" w:cs="Times New Roman"/>
        </w:rPr>
      </w:pPr>
      <w:r w:rsidRPr="00903A57">
        <w:rPr>
          <w:rFonts w:eastAsia="Times New Roman" w:cs="Times New Roman"/>
        </w:rPr>
        <w:t xml:space="preserve">There are four </w:t>
      </w:r>
      <w:r w:rsidRPr="00DF0F4F">
        <w:rPr>
          <w:rFonts w:eastAsia="Times New Roman" w:cs="Times New Roman"/>
        </w:rPr>
        <w:t xml:space="preserve">general categories of </w:t>
      </w:r>
      <w:r w:rsidR="00FB740D">
        <w:rPr>
          <w:rFonts w:eastAsia="Times New Roman" w:cs="Times New Roman"/>
        </w:rPr>
        <w:t xml:space="preserve">emission </w:t>
      </w:r>
      <w:r w:rsidRPr="00DF0F4F">
        <w:rPr>
          <w:rFonts w:eastAsia="Times New Roman" w:cs="Times New Roman"/>
        </w:rPr>
        <w:t xml:space="preserve">sources included in these inventories: </w:t>
      </w:r>
      <w:r>
        <w:rPr>
          <w:rFonts w:eastAsia="Times New Roman" w:cs="Times New Roman"/>
        </w:rPr>
        <w:t>point sources</w:t>
      </w:r>
      <w:r w:rsidRPr="00DF0F4F">
        <w:rPr>
          <w:rFonts w:eastAsia="Times New Roman" w:cs="Times New Roman"/>
        </w:rPr>
        <w:t xml:space="preserve">, area sources, on-road mobile sources, and </w:t>
      </w:r>
      <w:r>
        <w:rPr>
          <w:rFonts w:eastAsia="Times New Roman" w:cs="Times New Roman"/>
        </w:rPr>
        <w:t>non</w:t>
      </w:r>
      <w:r w:rsidRPr="00DF0F4F">
        <w:rPr>
          <w:rFonts w:eastAsia="Times New Roman" w:cs="Times New Roman"/>
        </w:rPr>
        <w:t>-road mobile sources.</w:t>
      </w:r>
      <w:r>
        <w:rPr>
          <w:rFonts w:eastAsia="Times New Roman" w:cs="Times New Roman"/>
        </w:rPr>
        <w:t xml:space="preserve"> </w:t>
      </w:r>
      <w:r w:rsidRPr="00DF0F4F">
        <w:rPr>
          <w:rFonts w:eastAsia="Times New Roman" w:cs="Times New Roman"/>
        </w:rPr>
        <w:t>For each of these source categories, the pollutants that were inventoried include:</w:t>
      </w:r>
      <w:r w:rsidR="00295299">
        <w:rPr>
          <w:rFonts w:eastAsia="Times New Roman" w:cs="Times New Roman"/>
        </w:rPr>
        <w:t xml:space="preserve"> </w:t>
      </w:r>
      <w:r w:rsidRPr="00DF0F4F">
        <w:rPr>
          <w:rFonts w:eastAsia="Times New Roman" w:cs="Times New Roman"/>
        </w:rPr>
        <w:t>PM</w:t>
      </w:r>
      <w:r>
        <w:rPr>
          <w:rFonts w:eastAsia="Times New Roman" w:cs="Times New Roman"/>
          <w:vertAlign w:val="subscript"/>
        </w:rPr>
        <w:t>2.5</w:t>
      </w:r>
      <w:r w:rsidRPr="00DF0F4F">
        <w:rPr>
          <w:rFonts w:eastAsia="Times New Roman" w:cs="Times New Roman"/>
        </w:rPr>
        <w:t>, SO</w:t>
      </w:r>
      <w:r w:rsidRPr="00DF0F4F">
        <w:rPr>
          <w:rFonts w:eastAsia="Times New Roman" w:cs="Times New Roman"/>
          <w:vertAlign w:val="subscript"/>
        </w:rPr>
        <w:t>2</w:t>
      </w:r>
      <w:r w:rsidRPr="00DF0F4F">
        <w:rPr>
          <w:rFonts w:eastAsia="Times New Roman" w:cs="Times New Roman"/>
        </w:rPr>
        <w:t>, NO</w:t>
      </w:r>
      <w:r w:rsidRPr="00953EA1">
        <w:rPr>
          <w:rFonts w:eastAsia="Times New Roman" w:cs="Times New Roman"/>
          <w:vertAlign w:val="subscript"/>
        </w:rPr>
        <w:t>X</w:t>
      </w:r>
      <w:r w:rsidRPr="00DF0F4F">
        <w:rPr>
          <w:rFonts w:eastAsia="Times New Roman" w:cs="Times New Roman"/>
        </w:rPr>
        <w:t xml:space="preserve">, </w:t>
      </w:r>
      <w:r w:rsidR="00295299">
        <w:rPr>
          <w:rFonts w:eastAsia="Times New Roman" w:cs="Times New Roman"/>
        </w:rPr>
        <w:t>V</w:t>
      </w:r>
      <w:r w:rsidRPr="00DF0F4F">
        <w:rPr>
          <w:rFonts w:eastAsia="Times New Roman" w:cs="Times New Roman"/>
        </w:rPr>
        <w:t xml:space="preserve">OC, and </w:t>
      </w:r>
      <w:r w:rsidR="00295299">
        <w:rPr>
          <w:rFonts w:eastAsia="Times New Roman" w:cs="Times New Roman"/>
        </w:rPr>
        <w:t>N</w:t>
      </w:r>
      <w:r>
        <w:rPr>
          <w:rFonts w:eastAsia="Times New Roman" w:cs="Times New Roman"/>
        </w:rPr>
        <w:t>H</w:t>
      </w:r>
      <w:r w:rsidRPr="009C50C2">
        <w:rPr>
          <w:rFonts w:eastAsia="Times New Roman" w:cs="Times New Roman"/>
          <w:vertAlign w:val="subscript"/>
        </w:rPr>
        <w:t>3</w:t>
      </w:r>
      <w:r>
        <w:rPr>
          <w:rFonts w:eastAsia="Times New Roman" w:cs="Times New Roman"/>
        </w:rPr>
        <w:t xml:space="preserve">.  </w:t>
      </w:r>
      <w:r w:rsidRPr="00DF0F4F">
        <w:rPr>
          <w:rFonts w:eastAsia="Times New Roman" w:cs="Times New Roman"/>
        </w:rPr>
        <w:t>The unit of measure for point and area sources is</w:t>
      </w:r>
      <w:r>
        <w:rPr>
          <w:rFonts w:eastAsia="Times New Roman" w:cs="Times New Roman"/>
        </w:rPr>
        <w:t xml:space="preserve"> the traditional tons per year.</w:t>
      </w:r>
      <w:r w:rsidRPr="00DF0F4F">
        <w:rPr>
          <w:rFonts w:eastAsia="Times New Roman" w:cs="Times New Roman"/>
        </w:rPr>
        <w:t xml:space="preserve"> Mobile source emissions are reported in terms of tons per day</w:t>
      </w:r>
      <w:r>
        <w:rPr>
          <w:rFonts w:eastAsia="Times New Roman" w:cs="Times New Roman"/>
        </w:rPr>
        <w:t xml:space="preserve">. The pre-processing model, SMOKE, converts all emissions to daily, weekly, and hourly values. </w:t>
      </w:r>
    </w:p>
    <w:p w14:paraId="0EE267DB" w14:textId="75DB323B" w:rsidR="002C174C" w:rsidRPr="00D65616" w:rsidRDefault="002C174C" w:rsidP="006D45BA">
      <w:pPr>
        <w:rPr>
          <w:rFonts w:eastAsia="Times New Roman" w:cs="Times New Roman"/>
        </w:rPr>
      </w:pPr>
      <w:r w:rsidRPr="00D65616">
        <w:rPr>
          <w:rFonts w:eastAsia="Times New Roman" w:cs="Times New Roman"/>
        </w:rPr>
        <w:t>Area source emissions were projected to 2017 from the 2014 triannual inventory. Growth data from appropriate data sources, including information from the Governor’s Office of Management and Budget, was used to project</w:t>
      </w:r>
      <w:r>
        <w:rPr>
          <w:rFonts w:eastAsia="Times New Roman" w:cs="Times New Roman"/>
        </w:rPr>
        <w:t xml:space="preserve"> inventories</w:t>
      </w:r>
      <w:r w:rsidRPr="00D65616">
        <w:rPr>
          <w:rFonts w:eastAsia="Times New Roman" w:cs="Times New Roman"/>
        </w:rPr>
        <w:t xml:space="preserve"> to 2026 a</w:t>
      </w:r>
      <w:r w:rsidRPr="00FB740D">
        <w:rPr>
          <w:rFonts w:eastAsia="Times New Roman" w:cs="Times New Roman"/>
        </w:rPr>
        <w:t>nd 2035. Point</w:t>
      </w:r>
      <w:r w:rsidRPr="00D65616">
        <w:rPr>
          <w:rFonts w:eastAsia="Times New Roman" w:cs="Times New Roman"/>
        </w:rPr>
        <w:t xml:space="preserve"> source emissions are represe</w:t>
      </w:r>
      <w:r>
        <w:rPr>
          <w:rFonts w:eastAsia="Times New Roman" w:cs="Times New Roman"/>
        </w:rPr>
        <w:t>nted as the actual emissions fro</w:t>
      </w:r>
      <w:r w:rsidRPr="00D65616">
        <w:rPr>
          <w:rFonts w:eastAsia="Times New Roman" w:cs="Times New Roman"/>
        </w:rPr>
        <w:t xml:space="preserve">m the 2017 triannual emissions inventory. Point sources were grown </w:t>
      </w:r>
      <w:r>
        <w:rPr>
          <w:rFonts w:eastAsia="Times New Roman" w:cs="Times New Roman"/>
        </w:rPr>
        <w:t xml:space="preserve">to 2026 and 2035 </w:t>
      </w:r>
      <w:r w:rsidRPr="00D65616">
        <w:rPr>
          <w:rFonts w:eastAsia="Times New Roman" w:cs="Times New Roman"/>
        </w:rPr>
        <w:t>on a case</w:t>
      </w:r>
      <w:r w:rsidR="00290086">
        <w:rPr>
          <w:rFonts w:eastAsia="Times New Roman" w:cs="Times New Roman"/>
        </w:rPr>
        <w:t>-</w:t>
      </w:r>
      <w:r w:rsidRPr="00D65616">
        <w:rPr>
          <w:rFonts w:eastAsia="Times New Roman" w:cs="Times New Roman"/>
        </w:rPr>
        <w:t>by</w:t>
      </w:r>
      <w:r w:rsidR="00290086">
        <w:rPr>
          <w:rFonts w:eastAsia="Times New Roman" w:cs="Times New Roman"/>
        </w:rPr>
        <w:t>-</w:t>
      </w:r>
      <w:r w:rsidRPr="00D65616">
        <w:rPr>
          <w:rFonts w:eastAsia="Times New Roman" w:cs="Times New Roman"/>
        </w:rPr>
        <w:t xml:space="preserve">case basis for the projection inventories. </w:t>
      </w:r>
    </w:p>
    <w:p w14:paraId="1EB6ED1D" w14:textId="2596B902" w:rsidR="002C174C" w:rsidRPr="00D65616" w:rsidRDefault="002C174C" w:rsidP="006D45BA">
      <w:pPr>
        <w:rPr>
          <w:rFonts w:eastAsia="Times New Roman" w:cs="Times New Roman"/>
        </w:rPr>
      </w:pPr>
      <w:r>
        <w:rPr>
          <w:rFonts w:eastAsia="Times New Roman" w:cs="Times New Roman"/>
        </w:rPr>
        <w:t>On-road m</w:t>
      </w:r>
      <w:r w:rsidRPr="00D65616">
        <w:rPr>
          <w:rFonts w:eastAsia="Times New Roman" w:cs="Times New Roman"/>
        </w:rPr>
        <w:t xml:space="preserve">obile source emissions were calculated </w:t>
      </w:r>
      <w:r w:rsidRPr="00DF0F4F">
        <w:rPr>
          <w:rFonts w:eastAsia="Times New Roman" w:cs="Times New Roman"/>
        </w:rPr>
        <w:t xml:space="preserve">for each year using </w:t>
      </w:r>
      <w:r>
        <w:rPr>
          <w:rFonts w:eastAsia="Times New Roman" w:cs="Times New Roman"/>
        </w:rPr>
        <w:t>MOVES2014b</w:t>
      </w:r>
      <w:r w:rsidRPr="00DF0F4F">
        <w:rPr>
          <w:rFonts w:eastAsia="Times New Roman" w:cs="Times New Roman"/>
        </w:rPr>
        <w:t xml:space="preserve"> in conjunction with the appropriate estimates for</w:t>
      </w:r>
      <w:r>
        <w:rPr>
          <w:rFonts w:eastAsia="Times New Roman" w:cs="Times New Roman"/>
        </w:rPr>
        <w:t xml:space="preserve"> vehicle miles traveled (VMT). </w:t>
      </w:r>
      <w:r w:rsidRPr="00DF0F4F">
        <w:rPr>
          <w:rFonts w:eastAsia="Times New Roman" w:cs="Times New Roman"/>
        </w:rPr>
        <w:t xml:space="preserve">VMT estimates for the urban counties were </w:t>
      </w:r>
      <w:r>
        <w:rPr>
          <w:rFonts w:eastAsia="Times New Roman" w:cs="Times New Roman"/>
        </w:rPr>
        <w:t>provided by the local metropolitan planning organizations</w:t>
      </w:r>
      <w:r w:rsidR="00EC4435">
        <w:rPr>
          <w:rFonts w:eastAsia="Times New Roman" w:cs="Times New Roman"/>
        </w:rPr>
        <w:t xml:space="preserve"> (MPOs), including the </w:t>
      </w:r>
      <w:r>
        <w:rPr>
          <w:rFonts w:eastAsia="Times New Roman" w:cs="Times New Roman"/>
        </w:rPr>
        <w:t xml:space="preserve">Wasatch Front Regional Council, </w:t>
      </w:r>
      <w:r w:rsidR="00EC4435">
        <w:rPr>
          <w:rFonts w:eastAsia="Times New Roman" w:cs="Times New Roman"/>
        </w:rPr>
        <w:t xml:space="preserve">the </w:t>
      </w:r>
      <w:proofErr w:type="spellStart"/>
      <w:r>
        <w:rPr>
          <w:rFonts w:eastAsia="Times New Roman" w:cs="Times New Roman"/>
        </w:rPr>
        <w:t>Mountainland</w:t>
      </w:r>
      <w:proofErr w:type="spellEnd"/>
      <w:r>
        <w:rPr>
          <w:rFonts w:eastAsia="Times New Roman" w:cs="Times New Roman"/>
        </w:rPr>
        <w:t xml:space="preserve"> Association of Governments, and </w:t>
      </w:r>
      <w:r w:rsidR="00EC4435">
        <w:rPr>
          <w:rFonts w:eastAsia="Times New Roman" w:cs="Times New Roman"/>
        </w:rPr>
        <w:t xml:space="preserve">the </w:t>
      </w:r>
      <w:r>
        <w:rPr>
          <w:rFonts w:eastAsia="Times New Roman" w:cs="Times New Roman"/>
        </w:rPr>
        <w:t>Cache Metropolitan Planning Organization</w:t>
      </w:r>
      <w:r w:rsidR="00EC4435">
        <w:rPr>
          <w:rFonts w:eastAsia="Times New Roman" w:cs="Times New Roman"/>
        </w:rPr>
        <w:t xml:space="preserve"> and are</w:t>
      </w:r>
      <w:r>
        <w:rPr>
          <w:rFonts w:eastAsia="Times New Roman" w:cs="Times New Roman"/>
        </w:rPr>
        <w:t xml:space="preserve"> </w:t>
      </w:r>
      <w:r w:rsidRPr="00DF0F4F">
        <w:rPr>
          <w:rFonts w:eastAsia="Times New Roman" w:cs="Times New Roman"/>
        </w:rPr>
        <w:t xml:space="preserve">based </w:t>
      </w:r>
      <w:r w:rsidR="00EC4435">
        <w:rPr>
          <w:rFonts w:eastAsia="Times New Roman" w:cs="Times New Roman"/>
        </w:rPr>
        <w:t>their</w:t>
      </w:r>
      <w:r w:rsidRPr="00DF0F4F">
        <w:rPr>
          <w:rFonts w:eastAsia="Times New Roman" w:cs="Times New Roman"/>
        </w:rPr>
        <w:t xml:space="preserve"> travel demand model</w:t>
      </w:r>
      <w:r w:rsidR="00EC4435">
        <w:rPr>
          <w:rFonts w:eastAsia="Times New Roman" w:cs="Times New Roman"/>
        </w:rPr>
        <w:t>ing</w:t>
      </w:r>
      <w:r>
        <w:rPr>
          <w:rFonts w:eastAsia="Times New Roman" w:cs="Times New Roman"/>
        </w:rPr>
        <w:t xml:space="preserve"> for 2017, 2026, and 2035.</w:t>
      </w:r>
      <w:r w:rsidRPr="00FE32C7">
        <w:rPr>
          <w:rFonts w:eastAsia="Times New Roman" w:cs="Times New Roman"/>
        </w:rPr>
        <w:t xml:space="preserve"> </w:t>
      </w:r>
      <w:r>
        <w:rPr>
          <w:rFonts w:eastAsia="Times New Roman" w:cs="Times New Roman"/>
        </w:rPr>
        <w:t xml:space="preserve">Non-road mobile source emission were calculated for each year using MOVES2014b. Growth data from appropriate data sources was used to project to 2026 and 2035. </w:t>
      </w:r>
      <w:r w:rsidRPr="00D65616">
        <w:rPr>
          <w:rFonts w:eastAsia="Times New Roman" w:cs="Times New Roman"/>
        </w:rPr>
        <w:t>The T</w:t>
      </w:r>
      <w:r w:rsidR="00EC4435">
        <w:rPr>
          <w:rFonts w:eastAsia="Times New Roman" w:cs="Times New Roman"/>
        </w:rPr>
        <w:t>SD</w:t>
      </w:r>
      <w:r w:rsidRPr="00D65616">
        <w:rPr>
          <w:rFonts w:eastAsia="Times New Roman" w:cs="Times New Roman"/>
        </w:rPr>
        <w:t xml:space="preserve"> accompanying this SIP </w:t>
      </w:r>
      <w:r w:rsidR="00EC4435">
        <w:rPr>
          <w:rFonts w:eastAsia="Times New Roman" w:cs="Times New Roman"/>
        </w:rPr>
        <w:t>includes the Inventory Preparation Plan</w:t>
      </w:r>
      <w:r w:rsidR="00D31691">
        <w:rPr>
          <w:rFonts w:eastAsia="Times New Roman" w:cs="Times New Roman"/>
        </w:rPr>
        <w:t xml:space="preserve"> that </w:t>
      </w:r>
      <w:r w:rsidRPr="00D65616">
        <w:rPr>
          <w:rFonts w:eastAsia="Times New Roman" w:cs="Times New Roman"/>
        </w:rPr>
        <w:t>details the growth factors used for each emissions source.</w:t>
      </w:r>
    </w:p>
    <w:p w14:paraId="77C572C9" w14:textId="77777777" w:rsidR="00AE2714" w:rsidRPr="006678D7" w:rsidRDefault="00AE2714" w:rsidP="00AE2714">
      <w:pPr>
        <w:rPr>
          <w:rFonts w:eastAsia="Times New Roman" w:cs="Times New Roman"/>
        </w:rPr>
      </w:pPr>
      <w:r w:rsidRPr="006678D7">
        <w:rPr>
          <w:rFonts w:eastAsia="Times New Roman" w:cs="Times New Roman"/>
        </w:rPr>
        <w:t xml:space="preserve">Source category emission inventories are expected to look quite different between 2017 and 2035. Population is expected to steadily increase between the 18-year span. </w:t>
      </w:r>
      <w:bookmarkStart w:id="110" w:name="_Hlk16180660"/>
      <w:r w:rsidRPr="006678D7">
        <w:rPr>
          <w:rFonts w:eastAsia="Times New Roman" w:cs="Times New Roman"/>
        </w:rPr>
        <w:t xml:space="preserve">On-road mobile emissions dominate the 2017 inventory; however, in 2035 area source emissions dominate the inventory. </w:t>
      </w:r>
      <w:bookmarkEnd w:id="110"/>
      <w:r w:rsidRPr="006678D7">
        <w:rPr>
          <w:rFonts w:eastAsia="Times New Roman" w:cs="Times New Roman"/>
        </w:rPr>
        <w:t xml:space="preserve">This is due to the tier 3 federal fuel standards and phase-in of newer cars driving on-road emission reductions. Area source emissions are relatively stable from 2017 to 2026 to 2035, besides a decrease in NOx from 2017 to 2026 due to the phase-in of area source rules. </w:t>
      </w:r>
    </w:p>
    <w:p w14:paraId="4D9ED918" w14:textId="1E2132BD" w:rsidR="006F7ED0" w:rsidRDefault="006F7ED0" w:rsidP="006F7ED0">
      <w:pPr>
        <w:rPr>
          <w:rFonts w:eastAsia="Times New Roman" w:cs="Times New Roman"/>
        </w:rPr>
      </w:pPr>
      <w:r w:rsidRPr="00DF0F4F">
        <w:rPr>
          <w:rFonts w:eastAsia="Times New Roman" w:cs="Times New Roman"/>
        </w:rPr>
        <w:t>Since this SIP subsection takes the form of a maintenance plan, it must demonstrate that the area will continue to attain the PM</w:t>
      </w:r>
      <w:r>
        <w:rPr>
          <w:rFonts w:eastAsia="Times New Roman" w:cs="Times New Roman"/>
          <w:vertAlign w:val="subscript"/>
        </w:rPr>
        <w:t>2.5</w:t>
      </w:r>
      <w:r w:rsidRPr="00DF0F4F">
        <w:rPr>
          <w:rFonts w:eastAsia="Times New Roman" w:cs="Times New Roman"/>
        </w:rPr>
        <w:t xml:space="preserve"> NAAQS throughout a period of ten years from the date of EPA approval. It is also necessary to “spot </w:t>
      </w:r>
      <w:r>
        <w:rPr>
          <w:rFonts w:eastAsia="Times New Roman" w:cs="Times New Roman"/>
        </w:rPr>
        <w:t xml:space="preserve">check” this ten-year interval. </w:t>
      </w:r>
      <w:r w:rsidRPr="00DF0F4F">
        <w:rPr>
          <w:rFonts w:eastAsia="Times New Roman" w:cs="Times New Roman"/>
        </w:rPr>
        <w:t>Hence, projection inventories were prep</w:t>
      </w:r>
      <w:r>
        <w:rPr>
          <w:rFonts w:eastAsia="Times New Roman" w:cs="Times New Roman"/>
        </w:rPr>
        <w:t xml:space="preserve">ared for 2026 and 2035. </w:t>
      </w:r>
      <w:r w:rsidR="0089634B">
        <w:rPr>
          <w:rFonts w:eastAsia="Times New Roman" w:cs="Times New Roman"/>
        </w:rPr>
        <w:t>Table IX.A.27.1</w:t>
      </w:r>
      <w:r w:rsidR="00CC4AE6">
        <w:rPr>
          <w:rFonts w:eastAsia="Times New Roman" w:cs="Times New Roman"/>
        </w:rPr>
        <w:t>0</w:t>
      </w:r>
      <w:r w:rsidR="0089634B">
        <w:rPr>
          <w:rFonts w:eastAsia="Times New Roman" w:cs="Times New Roman"/>
        </w:rPr>
        <w:t xml:space="preserve"> </w:t>
      </w:r>
      <w:r w:rsidRPr="00DF0F4F">
        <w:rPr>
          <w:rFonts w:eastAsia="Times New Roman" w:cs="Times New Roman"/>
        </w:rPr>
        <w:t>summarize</w:t>
      </w:r>
      <w:r w:rsidR="0089634B">
        <w:rPr>
          <w:rFonts w:eastAsia="Times New Roman" w:cs="Times New Roman"/>
        </w:rPr>
        <w:t>s</w:t>
      </w:r>
      <w:r w:rsidRPr="00DF0F4F">
        <w:rPr>
          <w:rFonts w:eastAsia="Times New Roman" w:cs="Times New Roman"/>
        </w:rPr>
        <w:t xml:space="preserve"> these inventories. As described, </w:t>
      </w:r>
      <w:r w:rsidR="0089634B">
        <w:rPr>
          <w:rFonts w:eastAsia="Times New Roman" w:cs="Times New Roman"/>
        </w:rPr>
        <w:t>it</w:t>
      </w:r>
      <w:r w:rsidRPr="00DF0F4F">
        <w:rPr>
          <w:rFonts w:eastAsia="Times New Roman" w:cs="Times New Roman"/>
        </w:rPr>
        <w:t xml:space="preserve"> represent</w:t>
      </w:r>
      <w:r w:rsidR="0089634B">
        <w:rPr>
          <w:rFonts w:eastAsia="Times New Roman" w:cs="Times New Roman"/>
        </w:rPr>
        <w:t>s</w:t>
      </w:r>
      <w:r w:rsidRPr="00DF0F4F">
        <w:rPr>
          <w:rFonts w:eastAsia="Times New Roman" w:cs="Times New Roman"/>
        </w:rPr>
        <w:t xml:space="preserve"> point, area, on-road mobile, and </w:t>
      </w:r>
      <w:r>
        <w:rPr>
          <w:rFonts w:eastAsia="Times New Roman" w:cs="Times New Roman"/>
        </w:rPr>
        <w:t>non</w:t>
      </w:r>
      <w:r w:rsidRPr="00DF0F4F">
        <w:rPr>
          <w:rFonts w:eastAsia="Times New Roman" w:cs="Times New Roman"/>
        </w:rPr>
        <w:t>-road mobile sources in the modeling domain</w:t>
      </w:r>
      <w:r>
        <w:rPr>
          <w:rFonts w:eastAsia="Times New Roman" w:cs="Times New Roman"/>
        </w:rPr>
        <w:t xml:space="preserve"> and</w:t>
      </w:r>
      <w:r w:rsidRPr="00DF0F4F">
        <w:rPr>
          <w:rFonts w:eastAsia="Times New Roman" w:cs="Times New Roman"/>
        </w:rPr>
        <w:t xml:space="preserve"> include PM</w:t>
      </w:r>
      <w:r>
        <w:rPr>
          <w:rFonts w:eastAsia="Times New Roman" w:cs="Times New Roman"/>
          <w:vertAlign w:val="subscript"/>
        </w:rPr>
        <w:t>2.5</w:t>
      </w:r>
      <w:r w:rsidRPr="00DF0F4F">
        <w:rPr>
          <w:rFonts w:eastAsia="Times New Roman" w:cs="Times New Roman"/>
        </w:rPr>
        <w:t xml:space="preserve">, </w:t>
      </w:r>
      <w:r>
        <w:rPr>
          <w:rFonts w:eastAsia="Times New Roman" w:cs="Times New Roman"/>
        </w:rPr>
        <w:t xml:space="preserve">as well as the precursors </w:t>
      </w:r>
      <w:r w:rsidRPr="00DF0F4F">
        <w:rPr>
          <w:rFonts w:eastAsia="Times New Roman" w:cs="Times New Roman"/>
        </w:rPr>
        <w:t>SO</w:t>
      </w:r>
      <w:r w:rsidRPr="00DF0F4F">
        <w:rPr>
          <w:rFonts w:eastAsia="Times New Roman" w:cs="Times New Roman"/>
          <w:vertAlign w:val="subscript"/>
        </w:rPr>
        <w:t>2</w:t>
      </w:r>
      <w:r w:rsidRPr="00DF0F4F">
        <w:rPr>
          <w:rFonts w:eastAsia="Times New Roman" w:cs="Times New Roman"/>
        </w:rPr>
        <w:t>, NO</w:t>
      </w:r>
      <w:r w:rsidRPr="00DF0F4F">
        <w:rPr>
          <w:rFonts w:eastAsia="Times New Roman" w:cs="Times New Roman"/>
          <w:vertAlign w:val="subscript"/>
        </w:rPr>
        <w:t>X</w:t>
      </w:r>
      <w:r w:rsidRPr="00DF0F4F">
        <w:rPr>
          <w:rFonts w:eastAsia="Times New Roman" w:cs="Times New Roman"/>
        </w:rPr>
        <w:t>, VOC</w:t>
      </w:r>
      <w:r>
        <w:rPr>
          <w:rFonts w:eastAsia="Times New Roman" w:cs="Times New Roman"/>
        </w:rPr>
        <w:t>, and NH</w:t>
      </w:r>
      <w:r w:rsidRPr="00E07229">
        <w:rPr>
          <w:rFonts w:eastAsia="Times New Roman" w:cs="Times New Roman"/>
          <w:vertAlign w:val="subscript"/>
        </w:rPr>
        <w:t>3</w:t>
      </w:r>
      <w:r>
        <w:rPr>
          <w:rFonts w:eastAsia="Times New Roman" w:cs="Times New Roman"/>
        </w:rPr>
        <w:t xml:space="preserve"> as defined in 40 CFR Parts 50, 51, and 93.</w:t>
      </w:r>
      <w:r w:rsidR="00351738">
        <w:rPr>
          <w:rFonts w:eastAsia="Times New Roman" w:cs="Times New Roman"/>
        </w:rPr>
        <w:t xml:space="preserve"> </w:t>
      </w:r>
    </w:p>
    <w:p w14:paraId="47E047C8" w14:textId="5CD38BEA" w:rsidR="00351738" w:rsidRDefault="00351738" w:rsidP="00351738">
      <w:r>
        <w:t xml:space="preserve">More detail concerning any element of the inventory can be found in the appropriate section of the </w:t>
      </w:r>
      <w:r w:rsidR="00CC4AE6">
        <w:t>TSD</w:t>
      </w:r>
      <w:r>
        <w:t>. More detail about the general construction of the inventory can be found in the Inventory Preparation Plan.</w:t>
      </w:r>
    </w:p>
    <w:p w14:paraId="3428F713" w14:textId="363899F2" w:rsidR="00E01365" w:rsidRDefault="00E01365">
      <w:pPr>
        <w:pStyle w:val="Caption"/>
      </w:pPr>
      <w:bookmarkStart w:id="111" w:name="_Toc15906996"/>
      <w:r w:rsidRPr="00E01365">
        <w:rPr>
          <w:noProof/>
        </w:rPr>
        <w:drawing>
          <wp:inline distT="0" distB="0" distL="0" distR="0" wp14:anchorId="099B47E6" wp14:editId="013CCA42">
            <wp:extent cx="5943600" cy="282673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2826733"/>
                    </a:xfrm>
                    <a:prstGeom prst="rect">
                      <a:avLst/>
                    </a:prstGeom>
                    <a:noFill/>
                    <a:ln>
                      <a:noFill/>
                    </a:ln>
                  </pic:spPr>
                </pic:pic>
              </a:graphicData>
            </a:graphic>
          </wp:inline>
        </w:drawing>
      </w:r>
    </w:p>
    <w:p w14:paraId="36BD3478" w14:textId="05CA16EF" w:rsidR="00B1647C" w:rsidRDefault="00B1647C">
      <w:pPr>
        <w:pStyle w:val="Caption"/>
      </w:pPr>
      <w:bookmarkStart w:id="112" w:name="_Toc17201284"/>
      <w:r>
        <w:t xml:space="preserve">Table IX.A.27. </w:t>
      </w:r>
      <w:fldSimple w:instr=" SEQ Table_IX.A.27. \* ARABIC ">
        <w:r w:rsidR="00C012A9">
          <w:rPr>
            <w:noProof/>
          </w:rPr>
          <w:t>10</w:t>
        </w:r>
      </w:fldSimple>
      <w:r w:rsidRPr="00B1647C">
        <w:t xml:space="preserve"> </w:t>
      </w:r>
      <w:r w:rsidRPr="00326B49">
        <w:t xml:space="preserve">Emissions Inventory </w:t>
      </w:r>
      <w:r w:rsidR="00351738">
        <w:t xml:space="preserve">in Tons Per Average Episode Day by </w:t>
      </w:r>
      <w:r w:rsidRPr="00326B49">
        <w:t>Source Category and Year</w:t>
      </w:r>
      <w:bookmarkEnd w:id="112"/>
    </w:p>
    <w:bookmarkEnd w:id="111"/>
    <w:p w14:paraId="2EE82AA2" w14:textId="77777777" w:rsidR="00B1647C" w:rsidRDefault="00B1647C" w:rsidP="00E875DA"/>
    <w:p w14:paraId="08D4468D" w14:textId="284EAA39" w:rsidR="004C1422" w:rsidRDefault="00351738" w:rsidP="002E63CC">
      <w:pPr>
        <w:pStyle w:val="Heading2"/>
        <w:numPr>
          <w:ilvl w:val="0"/>
          <w:numId w:val="0"/>
        </w:numPr>
      </w:pPr>
      <w:r>
        <w:t xml:space="preserve"> </w:t>
      </w:r>
      <w:bookmarkStart w:id="113" w:name="_Toc17201208"/>
      <w:r w:rsidR="00D1524A">
        <w:t>(3</w:t>
      </w:r>
      <w:r w:rsidR="004C1422" w:rsidRPr="00C82B28">
        <w:t>) Additional Controls for Future Years</w:t>
      </w:r>
      <w:bookmarkEnd w:id="113"/>
      <w:r w:rsidR="004C1422" w:rsidRPr="00C82B28">
        <w:t xml:space="preserve"> </w:t>
      </w:r>
    </w:p>
    <w:p w14:paraId="52A3441F" w14:textId="447104CF" w:rsidR="00D1524A" w:rsidRDefault="00D1524A" w:rsidP="00E875DA">
      <w:r w:rsidRPr="00E839C4">
        <w:t>Since the emission limitations</w:t>
      </w:r>
      <w:r>
        <w:t xml:space="preserve"> discussed in </w:t>
      </w:r>
      <w:r w:rsidRPr="00563E63">
        <w:t>subsection IX.A.</w:t>
      </w:r>
      <w:r w:rsidR="00563E63" w:rsidRPr="00563E63">
        <w:t>27</w:t>
      </w:r>
      <w:r w:rsidR="009F4C83" w:rsidRPr="00563E63">
        <w:t>.b</w:t>
      </w:r>
      <w:r w:rsidRPr="00563E63">
        <w:t>(3) are federally</w:t>
      </w:r>
      <w:r w:rsidRPr="00E839C4">
        <w:t xml:space="preserve"> enforceable</w:t>
      </w:r>
      <w:r>
        <w:t xml:space="preserve"> and, as demonstrated </w:t>
      </w:r>
      <w:r w:rsidRPr="00563E63">
        <w:t>in IX.A.</w:t>
      </w:r>
      <w:r w:rsidR="00563E63" w:rsidRPr="00563E63">
        <w:t>27</w:t>
      </w:r>
      <w:r w:rsidRPr="00563E63">
        <w:t>.c(1) above, are</w:t>
      </w:r>
      <w:r w:rsidRPr="00E839C4">
        <w:t xml:space="preserve"> sufficient to ensure continued attainment of the </w:t>
      </w:r>
      <w:r w:rsidRPr="00DF0F4F">
        <w:rPr>
          <w:rFonts w:eastAsia="Times New Roman" w:cs="Times New Roman"/>
        </w:rPr>
        <w:t>PM</w:t>
      </w:r>
      <w:r>
        <w:rPr>
          <w:rFonts w:eastAsia="Times New Roman" w:cs="Times New Roman"/>
          <w:vertAlign w:val="subscript"/>
        </w:rPr>
        <w:t>2.5</w:t>
      </w:r>
      <w:r w:rsidR="00376EBF">
        <w:rPr>
          <w:rFonts w:eastAsia="Times New Roman" w:cs="Times New Roman"/>
          <w:vertAlign w:val="subscript"/>
        </w:rPr>
        <w:t xml:space="preserve"> </w:t>
      </w:r>
      <w:r w:rsidRPr="00E839C4">
        <w:t xml:space="preserve">NAAQS, there is no need to require any additional control measures to maintain the </w:t>
      </w:r>
      <w:r w:rsidRPr="00DF0F4F">
        <w:rPr>
          <w:rFonts w:eastAsia="Times New Roman" w:cs="Times New Roman"/>
        </w:rPr>
        <w:t>PM</w:t>
      </w:r>
      <w:r>
        <w:rPr>
          <w:rFonts w:eastAsia="Times New Roman" w:cs="Times New Roman"/>
          <w:vertAlign w:val="subscript"/>
        </w:rPr>
        <w:t>2.5</w:t>
      </w:r>
      <w:r w:rsidRPr="00E839C4">
        <w:t xml:space="preserve"> NAAQS.</w:t>
      </w:r>
    </w:p>
    <w:p w14:paraId="5C793C3E" w14:textId="77777777" w:rsidR="004C1422" w:rsidRDefault="00D1524A" w:rsidP="002E63CC">
      <w:pPr>
        <w:pStyle w:val="Heading2"/>
        <w:numPr>
          <w:ilvl w:val="0"/>
          <w:numId w:val="0"/>
        </w:numPr>
      </w:pPr>
      <w:bookmarkStart w:id="114" w:name="_Toc17201209"/>
      <w:r>
        <w:t>(4</w:t>
      </w:r>
      <w:r w:rsidR="004C1422" w:rsidRPr="00C82B28">
        <w:t>) Mobile Source Budget for Purposes of Conformity</w:t>
      </w:r>
      <w:bookmarkEnd w:id="114"/>
      <w:r w:rsidR="004C1422" w:rsidRPr="00C82B28">
        <w:t xml:space="preserve"> </w:t>
      </w:r>
    </w:p>
    <w:p w14:paraId="3208EE57" w14:textId="16C8566A" w:rsidR="00D1524A" w:rsidRDefault="00D1524A" w:rsidP="00C330D6">
      <w:r w:rsidRPr="00A64BCF">
        <w:t xml:space="preserve">The transportation conformity provisions of section 176(c)(2)(A) of the </w:t>
      </w:r>
      <w:r w:rsidR="000E0135">
        <w:t xml:space="preserve">Act </w:t>
      </w:r>
      <w:r w:rsidRPr="00A64BCF">
        <w:t>require</w:t>
      </w:r>
      <w:r w:rsidR="00057F83">
        <w:t>s</w:t>
      </w:r>
      <w:r w:rsidRPr="00A64BCF">
        <w:t xml:space="preserve"> regional transportation plans and programs to show that “…emissions expected from implementation of plans and programs are consistent with estimates of emissions from motor vehicles and necessary emissions reductions contained in the applicable implementation plan…” EPA's transportation conformity regulation (40 CFR 93, Subpart A</w:t>
      </w:r>
      <w:r w:rsidRPr="005017E1">
        <w:t xml:space="preserve">, last amended at 77 FR 14979, March 14 2012 </w:t>
      </w:r>
      <w:r w:rsidRPr="00A64BCF">
        <w:t>) also requires that motor vehicle emission budgets must be established for the last year of the maintenance plan, and may be established for any years deemed appropriate (see 40 CFR 93.118((b)(2)(</w:t>
      </w:r>
      <w:proofErr w:type="spellStart"/>
      <w:r w:rsidRPr="00A64BCF">
        <w:t>i</w:t>
      </w:r>
      <w:proofErr w:type="spellEnd"/>
      <w:r w:rsidRPr="00A64BCF">
        <w:t xml:space="preserve">)). </w:t>
      </w:r>
    </w:p>
    <w:p w14:paraId="1BAC54F4" w14:textId="22DDE6C9" w:rsidR="00D1524A" w:rsidRPr="00A64BCF" w:rsidRDefault="0083232E" w:rsidP="00C330D6">
      <w:r>
        <w:t>F</w:t>
      </w:r>
      <w:r w:rsidR="00D1524A" w:rsidRPr="00A64BCF">
        <w:t>or a</w:t>
      </w:r>
      <w:r w:rsidR="007D1EB6">
        <w:t>n</w:t>
      </w:r>
      <w:r w:rsidR="000E0135">
        <w:t xml:space="preserve"> </w:t>
      </w:r>
      <w:r w:rsidR="00D1524A" w:rsidRPr="00A64BCF">
        <w:t>MPO’s Re</w:t>
      </w:r>
      <w:r w:rsidR="00654751">
        <w:t>gional Transportation Plan</w:t>
      </w:r>
      <w:r w:rsidR="00D1524A" w:rsidRPr="00A64BCF">
        <w:t>, analysis years that are after the last year of the mai</w:t>
      </w:r>
      <w:r w:rsidR="00D1524A">
        <w:t>ntenance plan (in this case 2035</w:t>
      </w:r>
      <w:r w:rsidR="00D1524A" w:rsidRPr="00A64BCF">
        <w:t xml:space="preserve">), a conformity determination must show that emissions are less than or equal to the maintenance plan's motor vehicle emissions budget(s) for the last year of the implementation plan. </w:t>
      </w:r>
    </w:p>
    <w:p w14:paraId="3D43C3D9" w14:textId="77777777" w:rsidR="004C1422" w:rsidRPr="000128DD" w:rsidRDefault="000128DD" w:rsidP="00D30DE4">
      <w:pPr>
        <w:pStyle w:val="Heading3"/>
        <w:numPr>
          <w:ilvl w:val="0"/>
          <w:numId w:val="0"/>
        </w:numPr>
        <w:ind w:left="720" w:hanging="360"/>
      </w:pPr>
      <w:bookmarkStart w:id="115" w:name="_Toc17201210"/>
      <w:r>
        <w:t xml:space="preserve">(a) </w:t>
      </w:r>
      <w:r w:rsidR="003F4164" w:rsidRPr="000128DD">
        <w:t xml:space="preserve">Mobile Source </w:t>
      </w:r>
      <w:r w:rsidR="0082090D" w:rsidRPr="000128DD">
        <w:t>PM</w:t>
      </w:r>
      <w:r w:rsidR="0082090D" w:rsidRPr="00C56129">
        <w:rPr>
          <w:vertAlign w:val="subscript"/>
        </w:rPr>
        <w:t>2.5</w:t>
      </w:r>
      <w:r w:rsidR="004C1422" w:rsidRPr="00C56129">
        <w:t xml:space="preserve"> </w:t>
      </w:r>
      <w:r w:rsidR="004C1422" w:rsidRPr="000128DD">
        <w:t>Emissions Budgets</w:t>
      </w:r>
      <w:bookmarkEnd w:id="115"/>
    </w:p>
    <w:p w14:paraId="3C0A7107" w14:textId="0B1030D8" w:rsidR="00B377F2" w:rsidRDefault="00B377F2" w:rsidP="00B377F2">
      <w:pPr>
        <w:rPr>
          <w:rFonts w:eastAsia="Times New Roman" w:cs="Times New Roman"/>
        </w:rPr>
      </w:pPr>
      <w:r>
        <w:t xml:space="preserve">In this maintenance plan, Utah is establishing transportation conformity motor vehicle emission budgets (MVEB) for direct </w:t>
      </w:r>
      <w:r w:rsidRPr="00DF0F4F">
        <w:rPr>
          <w:rFonts w:eastAsia="Times New Roman" w:cs="Times New Roman"/>
        </w:rPr>
        <w:t>PM</w:t>
      </w:r>
      <w:r>
        <w:rPr>
          <w:rFonts w:eastAsia="Times New Roman" w:cs="Times New Roman"/>
          <w:vertAlign w:val="subscript"/>
        </w:rPr>
        <w:t>2.5</w:t>
      </w:r>
      <w:r>
        <w:rPr>
          <w:rFonts w:eastAsia="Times New Roman" w:cs="Times New Roman"/>
        </w:rPr>
        <w:t xml:space="preserve">, </w:t>
      </w:r>
      <w:r w:rsidRPr="00DF0F4F">
        <w:rPr>
          <w:rFonts w:eastAsia="Times New Roman" w:cs="Times New Roman"/>
        </w:rPr>
        <w:t>NO</w:t>
      </w:r>
      <w:r w:rsidRPr="00DF0F4F">
        <w:rPr>
          <w:rFonts w:eastAsia="Times New Roman" w:cs="Times New Roman"/>
          <w:vertAlign w:val="subscript"/>
        </w:rPr>
        <w:t>X</w:t>
      </w:r>
      <w:r w:rsidRPr="00DF0F4F">
        <w:rPr>
          <w:rFonts w:eastAsia="Times New Roman" w:cs="Times New Roman"/>
        </w:rPr>
        <w:t xml:space="preserve">, </w:t>
      </w:r>
      <w:r>
        <w:rPr>
          <w:rFonts w:eastAsia="Times New Roman" w:cs="Times New Roman"/>
        </w:rPr>
        <w:t xml:space="preserve">and </w:t>
      </w:r>
      <w:r w:rsidRPr="00DF0F4F">
        <w:rPr>
          <w:rFonts w:eastAsia="Times New Roman" w:cs="Times New Roman"/>
        </w:rPr>
        <w:t>VOC</w:t>
      </w:r>
      <w:r>
        <w:rPr>
          <w:rFonts w:eastAsia="Times New Roman" w:cs="Times New Roman"/>
        </w:rPr>
        <w:t xml:space="preserve"> for 2035.</w:t>
      </w:r>
      <w:r w:rsidRPr="00AF2DC7">
        <w:rPr>
          <w:rFonts w:eastAsia="Times New Roman" w:cs="Times New Roman"/>
          <w:sz w:val="24"/>
          <w:szCs w:val="24"/>
        </w:rPr>
        <w:t xml:space="preserve"> </w:t>
      </w:r>
      <w:r w:rsidRPr="00AF2DC7">
        <w:rPr>
          <w:rFonts w:eastAsia="Times New Roman" w:cs="Times New Roman"/>
        </w:rPr>
        <w:t>The MVEBs are established for tons per average winter weekday for NO</w:t>
      </w:r>
      <w:r w:rsidRPr="00AF2DC7">
        <w:rPr>
          <w:rFonts w:eastAsia="Times New Roman" w:cs="Times New Roman"/>
          <w:vertAlign w:val="subscript"/>
        </w:rPr>
        <w:t>x</w:t>
      </w:r>
      <w:r w:rsidR="00947D08">
        <w:rPr>
          <w:rFonts w:eastAsia="Times New Roman" w:cs="Times New Roman"/>
          <w:vertAlign w:val="subscript"/>
        </w:rPr>
        <w:t xml:space="preserve">, </w:t>
      </w:r>
      <w:r w:rsidRPr="00AF2DC7">
        <w:rPr>
          <w:rFonts w:eastAsia="Times New Roman" w:cs="Times New Roman"/>
        </w:rPr>
        <w:t>VOC, and direct PM</w:t>
      </w:r>
      <w:r w:rsidRPr="00AF2DC7">
        <w:rPr>
          <w:rFonts w:eastAsia="Times New Roman" w:cs="Times New Roman"/>
          <w:vertAlign w:val="subscript"/>
        </w:rPr>
        <w:t>2.5</w:t>
      </w:r>
      <w:r w:rsidRPr="00AF2DC7">
        <w:rPr>
          <w:rFonts w:eastAsia="Times New Roman" w:cs="Times New Roman"/>
        </w:rPr>
        <w:t xml:space="preserve"> (primary exhaust PM</w:t>
      </w:r>
      <w:r w:rsidRPr="00AF2DC7">
        <w:rPr>
          <w:rFonts w:eastAsia="Times New Roman" w:cs="Times New Roman"/>
          <w:vertAlign w:val="subscript"/>
        </w:rPr>
        <w:t>2.5</w:t>
      </w:r>
      <w:r w:rsidRPr="00AF2DC7">
        <w:rPr>
          <w:rFonts w:eastAsia="Times New Roman" w:cs="Times New Roman"/>
        </w:rPr>
        <w:t xml:space="preserve"> + brake and tire wear).</w:t>
      </w:r>
    </w:p>
    <w:p w14:paraId="517F3EA9" w14:textId="22E30C3F" w:rsidR="004C1422" w:rsidRDefault="004C1422" w:rsidP="00087E00">
      <w:pPr>
        <w:pStyle w:val="Heading4"/>
        <w:numPr>
          <w:ilvl w:val="0"/>
          <w:numId w:val="20"/>
        </w:numPr>
      </w:pPr>
      <w:bookmarkStart w:id="116" w:name="_Toc17201211"/>
      <w:bookmarkStart w:id="117" w:name="_Hlk15292237"/>
      <w:r w:rsidRPr="00C82B28">
        <w:t xml:space="preserve">Direct </w:t>
      </w:r>
      <w:r w:rsidR="0082090D" w:rsidRPr="00EF2C3F">
        <w:t>PM</w:t>
      </w:r>
      <w:r w:rsidR="0082090D" w:rsidRPr="00087E00">
        <w:rPr>
          <w:vertAlign w:val="subscript"/>
        </w:rPr>
        <w:t>2.5</w:t>
      </w:r>
      <w:r w:rsidR="00637DA2">
        <w:t>, NO</w:t>
      </w:r>
      <w:r w:rsidR="00637DA2" w:rsidRPr="00087E00">
        <w:rPr>
          <w:vertAlign w:val="subscript"/>
        </w:rPr>
        <w:t>x</w:t>
      </w:r>
      <w:r w:rsidR="00637DA2">
        <w:t>, and VOC</w:t>
      </w:r>
      <w:bookmarkEnd w:id="116"/>
    </w:p>
    <w:bookmarkEnd w:id="117"/>
    <w:p w14:paraId="3BDDAEDB" w14:textId="77777777" w:rsidR="000B22A9" w:rsidRPr="000B22A9" w:rsidRDefault="000B22A9" w:rsidP="000B22A9">
      <w:r w:rsidRPr="000B22A9">
        <w:t>Direct (or “primary”) PM</w:t>
      </w:r>
      <w:r w:rsidRPr="000B22A9">
        <w:rPr>
          <w:vertAlign w:val="subscript"/>
        </w:rPr>
        <w:t>2.5</w:t>
      </w:r>
      <w:r w:rsidRPr="000B22A9">
        <w:t xml:space="preserve"> refers to PM</w:t>
      </w:r>
      <w:r w:rsidRPr="000B22A9">
        <w:rPr>
          <w:vertAlign w:val="subscript"/>
        </w:rPr>
        <w:t>2.5</w:t>
      </w:r>
      <w:r w:rsidRPr="000B22A9">
        <w:t xml:space="preserve"> that is not formed via atmospheric chemistry. Rather, direct PM</w:t>
      </w:r>
      <w:r w:rsidRPr="000B22A9">
        <w:rPr>
          <w:vertAlign w:val="subscript"/>
        </w:rPr>
        <w:t>2.5</w:t>
      </w:r>
      <w:r w:rsidRPr="000B22A9">
        <w:t xml:space="preserve"> is emitted straight from a mobile or stationary source.  With regard to the emission budget presented herein, direct PM</w:t>
      </w:r>
      <w:r w:rsidRPr="000B22A9">
        <w:rPr>
          <w:vertAlign w:val="subscript"/>
        </w:rPr>
        <w:t>2.5</w:t>
      </w:r>
      <w:r w:rsidRPr="000B22A9">
        <w:t xml:space="preserve"> includes road dust, brake wear, and tire wear as well as PM</w:t>
      </w:r>
      <w:r w:rsidRPr="000B22A9">
        <w:rPr>
          <w:vertAlign w:val="subscript"/>
        </w:rPr>
        <w:t>2.5</w:t>
      </w:r>
      <w:r w:rsidRPr="000B22A9">
        <w:t xml:space="preserve"> from exhaust. Through atmospheric chemistry, NO</w:t>
      </w:r>
      <w:r w:rsidRPr="000B22A9">
        <w:rPr>
          <w:vertAlign w:val="subscript"/>
        </w:rPr>
        <w:t>X</w:t>
      </w:r>
      <w:r w:rsidRPr="000B22A9">
        <w:t xml:space="preserve"> and VOC emissions can substantially contribute to secondary PM</w:t>
      </w:r>
      <w:r w:rsidRPr="000B22A9">
        <w:rPr>
          <w:vertAlign w:val="subscript"/>
        </w:rPr>
        <w:t>2.5</w:t>
      </w:r>
      <w:r w:rsidRPr="000B22A9">
        <w:t xml:space="preserve"> formation. For this reason, NO</w:t>
      </w:r>
      <w:r w:rsidRPr="000B22A9">
        <w:rPr>
          <w:vertAlign w:val="subscript"/>
        </w:rPr>
        <w:t>X</w:t>
      </w:r>
      <w:r w:rsidRPr="000B22A9">
        <w:t xml:space="preserve"> and VOC are considered PM</w:t>
      </w:r>
      <w:r w:rsidRPr="000B22A9">
        <w:rPr>
          <w:vertAlign w:val="subscript"/>
        </w:rPr>
        <w:t>2.5</w:t>
      </w:r>
      <w:r w:rsidRPr="000B22A9">
        <w:t xml:space="preserve"> precursors and are the only PM</w:t>
      </w:r>
      <w:r w:rsidRPr="000B22A9">
        <w:rPr>
          <w:vertAlign w:val="subscript"/>
        </w:rPr>
        <w:t>2.5</w:t>
      </w:r>
      <w:r w:rsidRPr="000B22A9">
        <w:t xml:space="preserve"> precursors emitted at a significant level by on-road mobile and therefore included in the MVEBs.  </w:t>
      </w:r>
    </w:p>
    <w:p w14:paraId="1993B8A2" w14:textId="05677070" w:rsidR="00637DA2" w:rsidRDefault="00637DA2" w:rsidP="00637DA2">
      <w:r w:rsidRPr="00B8614D">
        <w:t xml:space="preserve">EPA's conformity regulation (40 CFR 93.124(a)) allows the implementation plan to quantify explicitly the amount by which motor vehicle emissions could be higher while still demonstrating compliance with the maintenance requirement. </w:t>
      </w:r>
      <w:r w:rsidRPr="00B8614D">
        <w:rPr>
          <w:szCs w:val="24"/>
        </w:rPr>
        <w:t>These additional emissions that can be allocated to the applicable MVEB are c</w:t>
      </w:r>
      <w:r>
        <w:rPr>
          <w:szCs w:val="24"/>
        </w:rPr>
        <w:t>onsidered the “safety margin</w:t>
      </w:r>
      <w:r w:rsidR="00712B22">
        <w:rPr>
          <w:szCs w:val="24"/>
        </w:rPr>
        <w:t>.”</w:t>
      </w:r>
      <w:r>
        <w:rPr>
          <w:szCs w:val="24"/>
        </w:rPr>
        <w:t xml:space="preserve"> </w:t>
      </w:r>
      <w:r w:rsidRPr="00B8614D">
        <w:rPr>
          <w:szCs w:val="24"/>
        </w:rPr>
        <w:t xml:space="preserve">As defined in 40 CFR 93.101, </w:t>
      </w:r>
      <w:r w:rsidR="00DC52F3">
        <w:rPr>
          <w:szCs w:val="24"/>
        </w:rPr>
        <w:t xml:space="preserve">the </w:t>
      </w:r>
      <w:r w:rsidRPr="00B8614D">
        <w:rPr>
          <w:szCs w:val="24"/>
        </w:rPr>
        <w:t>safety margin represents the amount of emissions by which the total projected emissions from all sources of a given pollutant are less than the total emissions that would satisfy the applicable requirement for demonstrating maintenance.</w:t>
      </w:r>
      <w:r>
        <w:rPr>
          <w:szCs w:val="24"/>
        </w:rPr>
        <w:t xml:space="preserve"> </w:t>
      </w:r>
      <w:r w:rsidRPr="00B8614D">
        <w:t xml:space="preserve">The implementation plan can then allocate some or all of this "safety margin" to the applicable MVEBs for transportation conformity purposes. </w:t>
      </w:r>
    </w:p>
    <w:p w14:paraId="5FB15B1C" w14:textId="5EA668E1" w:rsidR="00F964BC" w:rsidRDefault="000128DD" w:rsidP="00F964BC">
      <w:r w:rsidRPr="00B8614D">
        <w:t xml:space="preserve">As presented in the </w:t>
      </w:r>
      <w:r w:rsidR="00DD7145">
        <w:t>TSD</w:t>
      </w:r>
      <w:r w:rsidRPr="00B8614D">
        <w:t xml:space="preserve"> for on-road mobile sources, the estimated on-road mobile source emissio</w:t>
      </w:r>
      <w:r w:rsidR="005E7267">
        <w:t>ns</w:t>
      </w:r>
      <w:r w:rsidR="0000030E">
        <w:t xml:space="preserve"> of </w:t>
      </w:r>
      <w:r w:rsidR="006552BF">
        <w:t xml:space="preserve">direct </w:t>
      </w:r>
      <w:r w:rsidR="0000030E" w:rsidRPr="00B8614D">
        <w:t>PM</w:t>
      </w:r>
      <w:r w:rsidR="0000030E">
        <w:rPr>
          <w:vertAlign w:val="subscript"/>
        </w:rPr>
        <w:t>2.5</w:t>
      </w:r>
      <w:r w:rsidR="0000030E">
        <w:t>, NOx, and VOC</w:t>
      </w:r>
      <w:r w:rsidR="00DD7145">
        <w:t xml:space="preserve"> in 2035</w:t>
      </w:r>
      <w:r w:rsidR="005E7267">
        <w:t xml:space="preserve"> for the </w:t>
      </w:r>
      <w:r w:rsidR="002467C6" w:rsidRPr="002467C6">
        <w:rPr>
          <w:color w:val="00B050"/>
        </w:rPr>
        <w:t>Provo</w:t>
      </w:r>
      <w:r w:rsidR="005E7267" w:rsidRPr="002467C6">
        <w:rPr>
          <w:color w:val="00B050"/>
        </w:rPr>
        <w:t xml:space="preserve"> NAA</w:t>
      </w:r>
      <w:r>
        <w:t xml:space="preserve">, </w:t>
      </w:r>
      <w:r w:rsidR="005E7267">
        <w:t>are listed in the first row</w:t>
      </w:r>
      <w:r w:rsidR="0075256D">
        <w:t xml:space="preserve"> (original MVEB)</w:t>
      </w:r>
      <w:r w:rsidR="005E7267">
        <w:t xml:space="preserve"> in </w:t>
      </w:r>
      <w:r w:rsidR="005E7267" w:rsidRPr="006919D5">
        <w:t xml:space="preserve">Table </w:t>
      </w:r>
      <w:r w:rsidR="005E7267" w:rsidRPr="00BC3766">
        <w:rPr>
          <w:color w:val="00B050"/>
        </w:rPr>
        <w:t>IX.</w:t>
      </w:r>
      <w:r w:rsidR="0087515C" w:rsidRPr="00BC3766">
        <w:rPr>
          <w:color w:val="00B050"/>
        </w:rPr>
        <w:t>A.</w:t>
      </w:r>
      <w:r w:rsidR="00563E63" w:rsidRPr="00BC3766">
        <w:rPr>
          <w:color w:val="00B050"/>
        </w:rPr>
        <w:t>27</w:t>
      </w:r>
      <w:r w:rsidR="005E7267" w:rsidRPr="00BC3766">
        <w:rPr>
          <w:color w:val="00B050"/>
        </w:rPr>
        <w:t>.</w:t>
      </w:r>
      <w:r w:rsidR="00BC3766" w:rsidRPr="00BC3766">
        <w:rPr>
          <w:color w:val="00B050"/>
        </w:rPr>
        <w:t>1</w:t>
      </w:r>
      <w:r w:rsidR="00CC4AE6">
        <w:rPr>
          <w:color w:val="00B050"/>
        </w:rPr>
        <w:t>1</w:t>
      </w:r>
      <w:r w:rsidR="005E7267" w:rsidRPr="006919D5">
        <w:t>.</w:t>
      </w:r>
      <w:r w:rsidR="00E92F60" w:rsidRPr="006919D5">
        <w:t xml:space="preserve"> </w:t>
      </w:r>
      <w:r w:rsidR="005E7267" w:rsidRPr="006919D5">
        <w:t>These mobile source</w:t>
      </w:r>
      <w:r w:rsidR="005E7267">
        <w:t xml:space="preserve"> </w:t>
      </w:r>
      <w:r w:rsidRPr="00B8614D">
        <w:t xml:space="preserve">emissions were included in the maintenance </w:t>
      </w:r>
      <w:r w:rsidR="0075256D">
        <w:t>demonstration</w:t>
      </w:r>
      <w:r w:rsidR="005E7E64">
        <w:t xml:space="preserve"> </w:t>
      </w:r>
      <w:r w:rsidRPr="00B8614D">
        <w:t xml:space="preserve">in </w:t>
      </w:r>
      <w:r w:rsidRPr="00B1647C">
        <w:t xml:space="preserve">Subsection </w:t>
      </w:r>
      <w:r w:rsidR="00363C73" w:rsidRPr="00B1647C">
        <w:t>IX.A</w:t>
      </w:r>
      <w:r w:rsidRPr="00B1647C">
        <w:t>.</w:t>
      </w:r>
      <w:r w:rsidR="00563E63" w:rsidRPr="00B1647C">
        <w:t>27</w:t>
      </w:r>
      <w:r w:rsidR="00363C73" w:rsidRPr="00B1647C">
        <w:t>.</w:t>
      </w:r>
      <w:r w:rsidR="00E92F60" w:rsidRPr="00B1647C">
        <w:t xml:space="preserve">c </w:t>
      </w:r>
      <w:r w:rsidRPr="00B1647C">
        <w:t>which estimates a maximum PM</w:t>
      </w:r>
      <w:r w:rsidRPr="00B1647C">
        <w:rPr>
          <w:vertAlign w:val="subscript"/>
        </w:rPr>
        <w:t>2.5</w:t>
      </w:r>
      <w:r w:rsidRPr="00B1647C">
        <w:t xml:space="preserve"> concentration of </w:t>
      </w:r>
      <w:r w:rsidR="00DC52F3" w:rsidRPr="006D1C4F">
        <w:rPr>
          <w:color w:val="00B050"/>
        </w:rPr>
        <w:t>28.</w:t>
      </w:r>
      <w:r w:rsidR="00024050">
        <w:rPr>
          <w:color w:val="00B050"/>
        </w:rPr>
        <w:t>5</w:t>
      </w:r>
      <w:r w:rsidRPr="006D1C4F">
        <w:rPr>
          <w:color w:val="00B050"/>
        </w:rPr>
        <w:t xml:space="preserve"> µg/m</w:t>
      </w:r>
      <w:r w:rsidRPr="006D1C4F">
        <w:rPr>
          <w:color w:val="00B050"/>
          <w:vertAlign w:val="superscript"/>
        </w:rPr>
        <w:t>3</w:t>
      </w:r>
      <w:r w:rsidRPr="006D1C4F">
        <w:rPr>
          <w:color w:val="00B050"/>
        </w:rPr>
        <w:t xml:space="preserve"> </w:t>
      </w:r>
      <w:r w:rsidR="00DC52F3" w:rsidRPr="00B1647C">
        <w:t xml:space="preserve">at the Lindon monitor </w:t>
      </w:r>
      <w:r w:rsidRPr="00B1647C">
        <w:t xml:space="preserve">in 2035 within the </w:t>
      </w:r>
      <w:r w:rsidR="00563E63" w:rsidRPr="00B1647C">
        <w:t>Provo</w:t>
      </w:r>
      <w:r w:rsidRPr="00B1647C">
        <w:t xml:space="preserve"> NAA</w:t>
      </w:r>
      <w:r w:rsidRPr="00D44B44">
        <w:rPr>
          <w:color w:val="0070C0"/>
        </w:rPr>
        <w:t xml:space="preserve"> </w:t>
      </w:r>
      <w:r w:rsidRPr="00B8614D">
        <w:t>p</w:t>
      </w:r>
      <w:r w:rsidR="00E92F60">
        <w:t xml:space="preserve">ortion of the modeling domain. </w:t>
      </w:r>
      <w:r w:rsidR="0075256D">
        <w:t>The</w:t>
      </w:r>
      <w:r w:rsidR="00634E93">
        <w:t>se</w:t>
      </w:r>
      <w:r w:rsidR="0075256D">
        <w:t xml:space="preserve"> emissions</w:t>
      </w:r>
      <w:r w:rsidR="00E92F60">
        <w:t xml:space="preserve"> numbers</w:t>
      </w:r>
      <w:r w:rsidR="00634E93">
        <w:t xml:space="preserve"> are considered</w:t>
      </w:r>
      <w:r w:rsidR="00E92F60">
        <w:t xml:space="preserve"> th</w:t>
      </w:r>
      <w:r w:rsidR="00CF1697">
        <w:t>e MVEB for the maintenance plan prior to the application of any amount of safety margin.</w:t>
      </w:r>
    </w:p>
    <w:p w14:paraId="32012A5F" w14:textId="75FB1821" w:rsidR="005E7267" w:rsidRPr="00D67E13" w:rsidRDefault="005E7267" w:rsidP="005E7267">
      <w:pPr>
        <w:rPr>
          <w:color w:val="FF0000"/>
        </w:rPr>
      </w:pPr>
      <w:r w:rsidRPr="00B8614D">
        <w:t>The safety</w:t>
      </w:r>
      <w:r>
        <w:t xml:space="preserve"> margin for </w:t>
      </w:r>
      <w:r w:rsidR="00CF1697">
        <w:t xml:space="preserve">the </w:t>
      </w:r>
      <w:r w:rsidR="00563E63" w:rsidRPr="00563E63">
        <w:rPr>
          <w:color w:val="00B050"/>
        </w:rPr>
        <w:t>Provo</w:t>
      </w:r>
      <w:r w:rsidRPr="00563E63">
        <w:rPr>
          <w:color w:val="00B050"/>
        </w:rPr>
        <w:t xml:space="preserve"> NAA</w:t>
      </w:r>
      <w:r w:rsidRPr="00B8614D">
        <w:t xml:space="preserve"> portion of the domain equates to </w:t>
      </w:r>
      <w:r w:rsidR="00292371" w:rsidRPr="00292371">
        <w:rPr>
          <w:color w:val="00B050"/>
        </w:rPr>
        <w:t>6.</w:t>
      </w:r>
      <w:r w:rsidR="00015B91">
        <w:rPr>
          <w:color w:val="00B050"/>
        </w:rPr>
        <w:t>5</w:t>
      </w:r>
      <w:r w:rsidRPr="00292371">
        <w:rPr>
          <w:color w:val="00B050"/>
        </w:rPr>
        <w:t xml:space="preserve"> µg/m</w:t>
      </w:r>
      <w:r w:rsidRPr="00292371">
        <w:rPr>
          <w:color w:val="00B050"/>
          <w:vertAlign w:val="superscript"/>
        </w:rPr>
        <w:t>3</w:t>
      </w:r>
      <w:r w:rsidR="0075256D" w:rsidRPr="00292371">
        <w:rPr>
          <w:color w:val="00B050"/>
          <w:vertAlign w:val="superscript"/>
        </w:rPr>
        <w:t xml:space="preserve"> </w:t>
      </w:r>
      <w:r w:rsidR="0075256D" w:rsidRPr="00292371">
        <w:rPr>
          <w:color w:val="00B050"/>
        </w:rPr>
        <w:t>(</w:t>
      </w:r>
      <w:r w:rsidR="00E67E1C">
        <w:rPr>
          <w:color w:val="00B050"/>
        </w:rPr>
        <w:t>the 2006 24-hr PM</w:t>
      </w:r>
      <w:r w:rsidR="00E67E1C">
        <w:rPr>
          <w:color w:val="00B050"/>
          <w:vertAlign w:val="subscript"/>
        </w:rPr>
        <w:t>2.5</w:t>
      </w:r>
      <w:r w:rsidR="00E67E1C">
        <w:rPr>
          <w:color w:val="00B050"/>
        </w:rPr>
        <w:t xml:space="preserve"> standard of </w:t>
      </w:r>
      <w:r w:rsidR="0075256D" w:rsidRPr="00292371">
        <w:rPr>
          <w:color w:val="00B050"/>
        </w:rPr>
        <w:t>35.0</w:t>
      </w:r>
      <w:r w:rsidR="00E67E1C" w:rsidRPr="00E67E1C">
        <w:rPr>
          <w:color w:val="00B050"/>
        </w:rPr>
        <w:t xml:space="preserve"> </w:t>
      </w:r>
      <w:r w:rsidR="00E67E1C" w:rsidRPr="00292371">
        <w:rPr>
          <w:color w:val="00B050"/>
        </w:rPr>
        <w:t>µg/m</w:t>
      </w:r>
      <w:r w:rsidR="00E67E1C" w:rsidRPr="00292371">
        <w:rPr>
          <w:color w:val="00B050"/>
          <w:vertAlign w:val="superscript"/>
        </w:rPr>
        <w:t>3</w:t>
      </w:r>
      <w:r w:rsidR="0075256D" w:rsidRPr="00292371">
        <w:rPr>
          <w:color w:val="00B050"/>
        </w:rPr>
        <w:t xml:space="preserve"> minus </w:t>
      </w:r>
      <w:r w:rsidR="00E67E1C">
        <w:rPr>
          <w:color w:val="00B050"/>
        </w:rPr>
        <w:t xml:space="preserve">the initial 2035 FDV of </w:t>
      </w:r>
      <w:r w:rsidR="00292371" w:rsidRPr="00292371">
        <w:rPr>
          <w:color w:val="00B050"/>
        </w:rPr>
        <w:t>28.</w:t>
      </w:r>
      <w:r w:rsidR="00015B91">
        <w:rPr>
          <w:color w:val="00B050"/>
        </w:rPr>
        <w:t>5</w:t>
      </w:r>
      <w:r w:rsidR="00E67E1C" w:rsidRPr="00E67E1C">
        <w:rPr>
          <w:color w:val="00B050"/>
        </w:rPr>
        <w:t xml:space="preserve"> </w:t>
      </w:r>
      <w:r w:rsidR="00E67E1C" w:rsidRPr="00292371">
        <w:rPr>
          <w:color w:val="00B050"/>
        </w:rPr>
        <w:t>µg/m</w:t>
      </w:r>
      <w:r w:rsidR="00E67E1C" w:rsidRPr="00292371">
        <w:rPr>
          <w:color w:val="00B050"/>
          <w:vertAlign w:val="superscript"/>
        </w:rPr>
        <w:t>3</w:t>
      </w:r>
      <w:r w:rsidR="0075256D" w:rsidRPr="00292371">
        <w:rPr>
          <w:color w:val="00B050"/>
        </w:rPr>
        <w:t>)</w:t>
      </w:r>
      <w:r w:rsidRPr="00292371">
        <w:t xml:space="preserve">. </w:t>
      </w:r>
      <w:r w:rsidRPr="00B8614D">
        <w:rPr>
          <w:szCs w:val="24"/>
        </w:rPr>
        <w:t>To evaluate the portion of safety margin t</w:t>
      </w:r>
      <w:r>
        <w:rPr>
          <w:szCs w:val="24"/>
        </w:rPr>
        <w:t xml:space="preserve">hat could be allocated to the </w:t>
      </w:r>
      <w:r w:rsidRPr="00B8614D">
        <w:rPr>
          <w:szCs w:val="24"/>
        </w:rPr>
        <w:t>MVEB</w:t>
      </w:r>
      <w:r w:rsidR="00CF1697">
        <w:rPr>
          <w:szCs w:val="24"/>
        </w:rPr>
        <w:t>s</w:t>
      </w:r>
      <w:r w:rsidRPr="00B8614D">
        <w:rPr>
          <w:szCs w:val="24"/>
        </w:rPr>
        <w:t>,</w:t>
      </w:r>
      <w:r>
        <w:rPr>
          <w:szCs w:val="24"/>
        </w:rPr>
        <w:t xml:space="preserve"> modeling was re-run for 2035</w:t>
      </w:r>
      <w:r w:rsidR="00634E93" w:rsidRPr="00634E93">
        <w:rPr>
          <w:szCs w:val="24"/>
        </w:rPr>
        <w:t xml:space="preserve"> </w:t>
      </w:r>
      <w:r w:rsidR="00634E93">
        <w:rPr>
          <w:szCs w:val="24"/>
        </w:rPr>
        <w:t>u</w:t>
      </w:r>
      <w:r w:rsidR="00634E93" w:rsidRPr="002552B2">
        <w:t>sing the same em</w:t>
      </w:r>
      <w:r w:rsidR="00634E93">
        <w:t>ission projections for point,</w:t>
      </w:r>
      <w:r w:rsidR="00634E93" w:rsidRPr="002552B2">
        <w:t xml:space="preserve"> area and non-road mobile sources</w:t>
      </w:r>
      <w:r w:rsidRPr="00B8614D">
        <w:rPr>
          <w:szCs w:val="24"/>
        </w:rPr>
        <w:t xml:space="preserve"> with additional emissions attribute</w:t>
      </w:r>
      <w:r w:rsidR="00F964BC">
        <w:rPr>
          <w:szCs w:val="24"/>
        </w:rPr>
        <w:t>d to the on-road mobile source</w:t>
      </w:r>
      <w:r w:rsidR="00362DEF">
        <w:rPr>
          <w:szCs w:val="24"/>
        </w:rPr>
        <w:t xml:space="preserve"> (see 2</w:t>
      </w:r>
      <w:r w:rsidR="00362DEF" w:rsidRPr="00362DEF">
        <w:rPr>
          <w:szCs w:val="24"/>
          <w:vertAlign w:val="superscript"/>
        </w:rPr>
        <w:t>nd</w:t>
      </w:r>
      <w:r w:rsidR="00362DEF">
        <w:rPr>
          <w:szCs w:val="24"/>
        </w:rPr>
        <w:t xml:space="preserve"> row of </w:t>
      </w:r>
      <w:r w:rsidR="00362DEF" w:rsidRPr="00BC3766">
        <w:rPr>
          <w:color w:val="00B050"/>
          <w:szCs w:val="24"/>
        </w:rPr>
        <w:t xml:space="preserve">Table </w:t>
      </w:r>
      <w:r w:rsidR="00362DEF" w:rsidRPr="00BC3766">
        <w:rPr>
          <w:color w:val="00B050"/>
        </w:rPr>
        <w:t>IX.</w:t>
      </w:r>
      <w:r w:rsidR="0087515C" w:rsidRPr="00BC3766">
        <w:rPr>
          <w:color w:val="00B050"/>
        </w:rPr>
        <w:t>A.</w:t>
      </w:r>
      <w:r w:rsidR="00287CEE" w:rsidRPr="00BC3766">
        <w:rPr>
          <w:color w:val="00B050"/>
        </w:rPr>
        <w:t>27</w:t>
      </w:r>
      <w:r w:rsidR="00362DEF" w:rsidRPr="00BC3766">
        <w:rPr>
          <w:color w:val="00B050"/>
        </w:rPr>
        <w:t>.</w:t>
      </w:r>
      <w:r w:rsidR="00CC4AE6">
        <w:rPr>
          <w:color w:val="00B050"/>
        </w:rPr>
        <w:t>11</w:t>
      </w:r>
      <w:r w:rsidR="008D25B3">
        <w:rPr>
          <w:color w:val="00B050"/>
        </w:rPr>
        <w:t xml:space="preserve"> </w:t>
      </w:r>
      <w:r w:rsidR="006D1C4F" w:rsidRPr="006D1C4F">
        <w:t>A</w:t>
      </w:r>
      <w:r w:rsidR="00362DEF" w:rsidRPr="006D1C4F">
        <w:t xml:space="preserve">dditional </w:t>
      </w:r>
      <w:r w:rsidR="008D25B3">
        <w:t>T</w:t>
      </w:r>
      <w:r w:rsidR="00362DEF" w:rsidRPr="00417DC6">
        <w:t xml:space="preserve">ons </w:t>
      </w:r>
      <w:r w:rsidR="008D25B3">
        <w:t>P</w:t>
      </w:r>
      <w:r w:rsidR="00362DEF" w:rsidRPr="00417DC6">
        <w:t xml:space="preserve">er </w:t>
      </w:r>
      <w:r w:rsidR="008D25B3">
        <w:t>D</w:t>
      </w:r>
      <w:r w:rsidR="00362DEF" w:rsidRPr="00417DC6">
        <w:t xml:space="preserve">ay from </w:t>
      </w:r>
      <w:r w:rsidR="008D25B3">
        <w:t>S</w:t>
      </w:r>
      <w:r w:rsidR="00362DEF" w:rsidRPr="00417DC6">
        <w:t xml:space="preserve">afety </w:t>
      </w:r>
      <w:r w:rsidR="008D25B3">
        <w:t>M</w:t>
      </w:r>
      <w:r w:rsidR="00362DEF" w:rsidRPr="00417DC6">
        <w:t>argin)</w:t>
      </w:r>
      <w:r w:rsidR="00F964BC" w:rsidRPr="00417DC6">
        <w:t>. The revised maintenance demonstration for 2035</w:t>
      </w:r>
      <w:r w:rsidR="00F964BC" w:rsidRPr="009745B1">
        <w:t xml:space="preserve"> still shows maintenance of the PM</w:t>
      </w:r>
      <w:r w:rsidR="00F964BC" w:rsidRPr="009745B1">
        <w:rPr>
          <w:vertAlign w:val="subscript"/>
        </w:rPr>
        <w:t>2.5</w:t>
      </w:r>
      <w:r w:rsidR="00F964BC">
        <w:t xml:space="preserve"> standard</w:t>
      </w:r>
      <w:r w:rsidR="00FC7F25">
        <w:t xml:space="preserve"> </w:t>
      </w:r>
      <w:r w:rsidR="008A2F0D">
        <w:t xml:space="preserve">with </w:t>
      </w:r>
      <w:r w:rsidR="00FC7F25">
        <w:t>a</w:t>
      </w:r>
      <w:r w:rsidR="00EA4F02" w:rsidRPr="009745B1">
        <w:t xml:space="preserve"> maximum PM</w:t>
      </w:r>
      <w:r w:rsidR="00EA4F02" w:rsidRPr="009745B1">
        <w:rPr>
          <w:vertAlign w:val="subscript"/>
        </w:rPr>
        <w:t>2.5</w:t>
      </w:r>
      <w:r w:rsidR="00EA4F02" w:rsidRPr="009745B1">
        <w:t xml:space="preserve"> concentrat</w:t>
      </w:r>
      <w:r w:rsidR="00EA4F02" w:rsidRPr="00FC7F25">
        <w:t>ion of</w:t>
      </w:r>
      <w:r w:rsidR="00EA4F02">
        <w:rPr>
          <w:color w:val="FF0000"/>
        </w:rPr>
        <w:t xml:space="preserve"> </w:t>
      </w:r>
      <w:r w:rsidR="00FC7F25" w:rsidRPr="00FC7F25">
        <w:rPr>
          <w:color w:val="00B050"/>
        </w:rPr>
        <w:t>29.</w:t>
      </w:r>
      <w:r w:rsidR="00015B91">
        <w:rPr>
          <w:color w:val="00B050"/>
        </w:rPr>
        <w:t>5</w:t>
      </w:r>
      <w:r w:rsidR="00EA4F02" w:rsidRPr="00FC7F25">
        <w:rPr>
          <w:color w:val="00B050"/>
        </w:rPr>
        <w:t xml:space="preserve"> µg/m</w:t>
      </w:r>
      <w:r w:rsidR="00EA4F02" w:rsidRPr="00FC7F25">
        <w:rPr>
          <w:color w:val="00B050"/>
          <w:vertAlign w:val="superscript"/>
        </w:rPr>
        <w:t>3</w:t>
      </w:r>
      <w:r w:rsidR="00EA4F02" w:rsidRPr="00FC7F25">
        <w:rPr>
          <w:color w:val="00B050"/>
        </w:rPr>
        <w:t xml:space="preserve"> </w:t>
      </w:r>
      <w:r w:rsidR="00FC7F25" w:rsidRPr="00FC7F25">
        <w:rPr>
          <w:color w:val="00B050"/>
        </w:rPr>
        <w:t>at the Lindon monitor</w:t>
      </w:r>
      <w:r w:rsidR="00FC7F25">
        <w:rPr>
          <w:color w:val="FF0000"/>
        </w:rPr>
        <w:t xml:space="preserve"> </w:t>
      </w:r>
      <w:r w:rsidR="00EA4F02" w:rsidRPr="009745B1">
        <w:t xml:space="preserve">in 2035 within the </w:t>
      </w:r>
      <w:r w:rsidR="002467C6" w:rsidRPr="002467C6">
        <w:rPr>
          <w:color w:val="00B050"/>
        </w:rPr>
        <w:t>Provo</w:t>
      </w:r>
      <w:r w:rsidR="00EA4F02" w:rsidRPr="002467C6">
        <w:rPr>
          <w:color w:val="00B050"/>
        </w:rPr>
        <w:t xml:space="preserve"> NAA</w:t>
      </w:r>
      <w:r w:rsidR="00EA4F02" w:rsidRPr="009745B1">
        <w:t xml:space="preserve"> p</w:t>
      </w:r>
      <w:r w:rsidR="00D67E13">
        <w:t xml:space="preserve">ortion of the modeling domain. </w:t>
      </w:r>
      <w:r w:rsidR="00634E93">
        <w:rPr>
          <w:szCs w:val="24"/>
        </w:rPr>
        <w:t>The final 2035 MVEB for</w:t>
      </w:r>
      <w:r w:rsidR="00A848BA">
        <w:rPr>
          <w:szCs w:val="24"/>
        </w:rPr>
        <w:t xml:space="preserve"> the Provo NAA Metropolitan Planning Organization, </w:t>
      </w:r>
      <w:proofErr w:type="spellStart"/>
      <w:r w:rsidR="00A848BA">
        <w:rPr>
          <w:szCs w:val="24"/>
        </w:rPr>
        <w:t>Mountainland</w:t>
      </w:r>
      <w:proofErr w:type="spellEnd"/>
      <w:r w:rsidR="00A848BA">
        <w:rPr>
          <w:szCs w:val="24"/>
        </w:rPr>
        <w:t xml:space="preserve"> Association of Governments</w:t>
      </w:r>
      <w:r w:rsidR="00782DCC">
        <w:rPr>
          <w:szCs w:val="24"/>
        </w:rPr>
        <w:t>,</w:t>
      </w:r>
      <w:r w:rsidR="00634E93">
        <w:rPr>
          <w:szCs w:val="24"/>
        </w:rPr>
        <w:t xml:space="preserve"> is listed in the last row of </w:t>
      </w:r>
      <w:r w:rsidR="00634E93" w:rsidRPr="009E4C5B">
        <w:rPr>
          <w:szCs w:val="24"/>
        </w:rPr>
        <w:t xml:space="preserve">Table </w:t>
      </w:r>
      <w:r w:rsidR="00634E93" w:rsidRPr="008A2F0D">
        <w:rPr>
          <w:color w:val="00B050"/>
        </w:rPr>
        <w:t>IX.</w:t>
      </w:r>
      <w:r w:rsidR="009E4C5B" w:rsidRPr="008A2F0D">
        <w:rPr>
          <w:color w:val="00B050"/>
        </w:rPr>
        <w:t>A.27</w:t>
      </w:r>
      <w:r w:rsidR="00634E93" w:rsidRPr="008A2F0D">
        <w:rPr>
          <w:color w:val="00B050"/>
        </w:rPr>
        <w:t>.</w:t>
      </w:r>
      <w:r w:rsidR="00CC4AE6">
        <w:rPr>
          <w:color w:val="00B050"/>
        </w:rPr>
        <w:t>11</w:t>
      </w:r>
      <w:r w:rsidR="00634E93">
        <w:rPr>
          <w:color w:val="FF0000"/>
        </w:rPr>
        <w:t xml:space="preserve"> </w:t>
      </w:r>
      <w:r w:rsidR="00634E93" w:rsidRPr="00634E93">
        <w:t>along with the 2035 design value that includes the revised MVEB.</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567"/>
        <w:gridCol w:w="1184"/>
        <w:gridCol w:w="1860"/>
        <w:gridCol w:w="1698"/>
        <w:gridCol w:w="2051"/>
      </w:tblGrid>
      <w:tr w:rsidR="00637DA2" w14:paraId="64ED057F" w14:textId="77777777" w:rsidTr="006D5986">
        <w:tc>
          <w:tcPr>
            <w:tcW w:w="2628" w:type="dxa"/>
            <w:shd w:val="clear" w:color="auto" w:fill="D9D9D9" w:themeFill="background1" w:themeFillShade="D9"/>
          </w:tcPr>
          <w:p w14:paraId="71C3593F" w14:textId="77777777" w:rsidR="00637DA2" w:rsidRPr="00637DA2" w:rsidRDefault="00637DA2" w:rsidP="00C330D6">
            <w:pPr>
              <w:rPr>
                <w:rFonts w:ascii="Arial" w:hAnsi="Arial" w:cs="Arial"/>
              </w:rPr>
            </w:pPr>
          </w:p>
        </w:tc>
        <w:tc>
          <w:tcPr>
            <w:tcW w:w="1202" w:type="dxa"/>
            <w:shd w:val="clear" w:color="auto" w:fill="D9D9D9" w:themeFill="background1" w:themeFillShade="D9"/>
          </w:tcPr>
          <w:p w14:paraId="6E43C4D0" w14:textId="646B576B" w:rsidR="00637DA2" w:rsidRPr="00074B52" w:rsidRDefault="00637DA2" w:rsidP="00637DA2">
            <w:pPr>
              <w:jc w:val="center"/>
              <w:rPr>
                <w:rFonts w:ascii="Arial" w:hAnsi="Arial" w:cs="Arial"/>
                <w:vertAlign w:val="subscript"/>
              </w:rPr>
            </w:pPr>
            <w:r w:rsidRPr="00637DA2">
              <w:rPr>
                <w:rFonts w:ascii="Arial" w:hAnsi="Arial" w:cs="Arial"/>
              </w:rPr>
              <w:t>Direct PM</w:t>
            </w:r>
            <w:r w:rsidR="00074B52">
              <w:rPr>
                <w:rFonts w:ascii="Arial" w:hAnsi="Arial" w:cs="Arial"/>
                <w:vertAlign w:val="subscript"/>
              </w:rPr>
              <w:t>2.5</w:t>
            </w:r>
          </w:p>
        </w:tc>
        <w:tc>
          <w:tcPr>
            <w:tcW w:w="1915" w:type="dxa"/>
            <w:shd w:val="clear" w:color="auto" w:fill="D9D9D9" w:themeFill="background1" w:themeFillShade="D9"/>
          </w:tcPr>
          <w:p w14:paraId="38E25460" w14:textId="77777777" w:rsidR="00637DA2" w:rsidRPr="00637DA2" w:rsidRDefault="00637DA2" w:rsidP="00953EA1">
            <w:pPr>
              <w:jc w:val="center"/>
              <w:rPr>
                <w:rFonts w:ascii="Arial" w:hAnsi="Arial" w:cs="Arial"/>
              </w:rPr>
            </w:pPr>
            <w:r w:rsidRPr="00637DA2">
              <w:rPr>
                <w:rFonts w:ascii="Arial" w:hAnsi="Arial" w:cs="Arial"/>
              </w:rPr>
              <w:t>NO</w:t>
            </w:r>
            <w:r w:rsidR="00953EA1" w:rsidRPr="00953EA1">
              <w:rPr>
                <w:rFonts w:ascii="Arial" w:hAnsi="Arial" w:cs="Arial"/>
                <w:vertAlign w:val="subscript"/>
              </w:rPr>
              <w:t>X</w:t>
            </w:r>
          </w:p>
        </w:tc>
        <w:tc>
          <w:tcPr>
            <w:tcW w:w="1743" w:type="dxa"/>
            <w:shd w:val="clear" w:color="auto" w:fill="D9D9D9" w:themeFill="background1" w:themeFillShade="D9"/>
          </w:tcPr>
          <w:p w14:paraId="5DCBC79B" w14:textId="77777777" w:rsidR="00637DA2" w:rsidRPr="00637DA2" w:rsidRDefault="00637DA2" w:rsidP="00637DA2">
            <w:pPr>
              <w:jc w:val="center"/>
              <w:rPr>
                <w:rFonts w:ascii="Arial" w:hAnsi="Arial" w:cs="Arial"/>
              </w:rPr>
            </w:pPr>
            <w:r w:rsidRPr="00637DA2">
              <w:rPr>
                <w:rFonts w:ascii="Arial" w:hAnsi="Arial" w:cs="Arial"/>
              </w:rPr>
              <w:t>VOC</w:t>
            </w:r>
          </w:p>
        </w:tc>
        <w:tc>
          <w:tcPr>
            <w:tcW w:w="2088" w:type="dxa"/>
            <w:shd w:val="clear" w:color="auto" w:fill="D9D9D9" w:themeFill="background1" w:themeFillShade="D9"/>
          </w:tcPr>
          <w:p w14:paraId="6DB57240" w14:textId="094CDB66" w:rsidR="00637DA2" w:rsidRPr="00637DA2" w:rsidRDefault="00637DA2" w:rsidP="00637DA2">
            <w:pPr>
              <w:jc w:val="center"/>
              <w:rPr>
                <w:rFonts w:ascii="Arial" w:hAnsi="Arial" w:cs="Arial"/>
              </w:rPr>
            </w:pPr>
            <w:r w:rsidRPr="00637DA2">
              <w:rPr>
                <w:rFonts w:ascii="Arial" w:hAnsi="Arial" w:cs="Arial"/>
              </w:rPr>
              <w:t>Design Value</w:t>
            </w:r>
            <w:r w:rsidR="00DC095D">
              <w:rPr>
                <w:rFonts w:ascii="Arial" w:hAnsi="Arial" w:cs="Arial"/>
              </w:rPr>
              <w:t xml:space="preserve"> @ controlling monitor</w:t>
            </w:r>
          </w:p>
        </w:tc>
      </w:tr>
      <w:tr w:rsidR="00637DA2" w14:paraId="083137D3" w14:textId="77777777" w:rsidTr="006D5986">
        <w:tc>
          <w:tcPr>
            <w:tcW w:w="2628" w:type="dxa"/>
          </w:tcPr>
          <w:p w14:paraId="73F8C9E7" w14:textId="77777777" w:rsidR="00637DA2" w:rsidRPr="00637DA2" w:rsidRDefault="00637DA2" w:rsidP="00C330D6">
            <w:pPr>
              <w:rPr>
                <w:rFonts w:ascii="Arial" w:hAnsi="Arial" w:cs="Arial"/>
              </w:rPr>
            </w:pPr>
            <w:r w:rsidRPr="00637DA2">
              <w:rPr>
                <w:rFonts w:ascii="Arial" w:hAnsi="Arial" w:cs="Arial"/>
              </w:rPr>
              <w:t>Original MVEB</w:t>
            </w:r>
          </w:p>
        </w:tc>
        <w:tc>
          <w:tcPr>
            <w:tcW w:w="1202" w:type="dxa"/>
          </w:tcPr>
          <w:p w14:paraId="2A668AEC" w14:textId="3001021D" w:rsidR="00637DA2" w:rsidRPr="00637DA2" w:rsidRDefault="008A2F0D" w:rsidP="008A2F0D">
            <w:pPr>
              <w:jc w:val="center"/>
              <w:rPr>
                <w:rFonts w:ascii="Arial" w:hAnsi="Arial" w:cs="Arial"/>
              </w:rPr>
            </w:pPr>
            <w:r>
              <w:rPr>
                <w:rFonts w:ascii="Arial" w:hAnsi="Arial" w:cs="Arial"/>
              </w:rPr>
              <w:t>.32</w:t>
            </w:r>
          </w:p>
        </w:tc>
        <w:tc>
          <w:tcPr>
            <w:tcW w:w="1915" w:type="dxa"/>
          </w:tcPr>
          <w:p w14:paraId="3AEC37B5" w14:textId="0DBB783A" w:rsidR="00637DA2" w:rsidRPr="00637DA2" w:rsidRDefault="008A2F0D" w:rsidP="008A2F0D">
            <w:pPr>
              <w:jc w:val="center"/>
              <w:rPr>
                <w:rFonts w:ascii="Arial" w:hAnsi="Arial" w:cs="Arial"/>
              </w:rPr>
            </w:pPr>
            <w:r>
              <w:rPr>
                <w:rFonts w:ascii="Arial" w:hAnsi="Arial" w:cs="Arial"/>
              </w:rPr>
              <w:t>4.5</w:t>
            </w:r>
          </w:p>
        </w:tc>
        <w:tc>
          <w:tcPr>
            <w:tcW w:w="1743" w:type="dxa"/>
          </w:tcPr>
          <w:p w14:paraId="1321E888" w14:textId="173229A3" w:rsidR="00637DA2" w:rsidRPr="00637DA2" w:rsidRDefault="008A2F0D" w:rsidP="008A2F0D">
            <w:pPr>
              <w:jc w:val="center"/>
              <w:rPr>
                <w:rFonts w:ascii="Arial" w:hAnsi="Arial" w:cs="Arial"/>
              </w:rPr>
            </w:pPr>
            <w:r>
              <w:rPr>
                <w:rFonts w:ascii="Arial" w:hAnsi="Arial" w:cs="Arial"/>
              </w:rPr>
              <w:t>4.2</w:t>
            </w:r>
          </w:p>
        </w:tc>
        <w:tc>
          <w:tcPr>
            <w:tcW w:w="2088" w:type="dxa"/>
          </w:tcPr>
          <w:p w14:paraId="16E271B7" w14:textId="54872838" w:rsidR="00637DA2" w:rsidRPr="008A2F0D" w:rsidRDefault="008A2F0D" w:rsidP="008A2F0D">
            <w:pPr>
              <w:jc w:val="center"/>
              <w:rPr>
                <w:rFonts w:ascii="Arial" w:hAnsi="Arial" w:cs="Arial"/>
              </w:rPr>
            </w:pPr>
            <w:r w:rsidRPr="008A2F0D">
              <w:rPr>
                <w:rFonts w:ascii="Arial" w:hAnsi="Arial" w:cs="Arial"/>
              </w:rPr>
              <w:t>28.</w:t>
            </w:r>
            <w:r w:rsidR="0008754C">
              <w:rPr>
                <w:rFonts w:ascii="Arial" w:hAnsi="Arial" w:cs="Arial"/>
              </w:rPr>
              <w:t>7</w:t>
            </w:r>
            <w:r w:rsidRPr="008A2F0D">
              <w:t xml:space="preserve"> µg/m</w:t>
            </w:r>
            <w:r w:rsidRPr="008A2F0D">
              <w:rPr>
                <w:vertAlign w:val="superscript"/>
              </w:rPr>
              <w:t>3</w:t>
            </w:r>
          </w:p>
        </w:tc>
      </w:tr>
      <w:tr w:rsidR="00637DA2" w14:paraId="3B3152A5" w14:textId="77777777" w:rsidTr="006D5986">
        <w:tc>
          <w:tcPr>
            <w:tcW w:w="2628" w:type="dxa"/>
          </w:tcPr>
          <w:p w14:paraId="633751EC" w14:textId="77777777" w:rsidR="00637DA2" w:rsidRPr="00637DA2" w:rsidRDefault="00637DA2" w:rsidP="00C330D6">
            <w:pPr>
              <w:rPr>
                <w:rFonts w:ascii="Arial" w:hAnsi="Arial" w:cs="Arial"/>
              </w:rPr>
            </w:pPr>
            <w:r w:rsidRPr="00637DA2">
              <w:rPr>
                <w:rFonts w:ascii="Arial" w:hAnsi="Arial" w:cs="Arial"/>
              </w:rPr>
              <w:t>Additional Tons Per Day</w:t>
            </w:r>
            <w:r w:rsidR="005D622D">
              <w:rPr>
                <w:rFonts w:ascii="Arial" w:hAnsi="Arial" w:cs="Arial"/>
              </w:rPr>
              <w:t xml:space="preserve"> from Safety Margin</w:t>
            </w:r>
          </w:p>
        </w:tc>
        <w:tc>
          <w:tcPr>
            <w:tcW w:w="1202" w:type="dxa"/>
          </w:tcPr>
          <w:p w14:paraId="5C4EB462" w14:textId="2FA4D916" w:rsidR="00637DA2" w:rsidRPr="00637DA2" w:rsidRDefault="008A2F0D" w:rsidP="008A2F0D">
            <w:pPr>
              <w:jc w:val="center"/>
              <w:rPr>
                <w:rFonts w:ascii="Arial" w:hAnsi="Arial" w:cs="Arial"/>
              </w:rPr>
            </w:pPr>
            <w:r>
              <w:rPr>
                <w:rFonts w:ascii="Arial" w:hAnsi="Arial" w:cs="Arial"/>
              </w:rPr>
              <w:t>1.18</w:t>
            </w:r>
          </w:p>
        </w:tc>
        <w:tc>
          <w:tcPr>
            <w:tcW w:w="1915" w:type="dxa"/>
          </w:tcPr>
          <w:p w14:paraId="526AF1C9" w14:textId="201F6011" w:rsidR="00637DA2" w:rsidRPr="00637DA2" w:rsidRDefault="008A2F0D" w:rsidP="008A2F0D">
            <w:pPr>
              <w:jc w:val="center"/>
              <w:rPr>
                <w:rFonts w:ascii="Arial" w:hAnsi="Arial" w:cs="Arial"/>
              </w:rPr>
            </w:pPr>
            <w:r>
              <w:rPr>
                <w:rFonts w:ascii="Arial" w:hAnsi="Arial" w:cs="Arial"/>
              </w:rPr>
              <w:t>2.0</w:t>
            </w:r>
          </w:p>
        </w:tc>
        <w:tc>
          <w:tcPr>
            <w:tcW w:w="1743" w:type="dxa"/>
          </w:tcPr>
          <w:p w14:paraId="6BCA9238" w14:textId="0DDF8B03" w:rsidR="00637DA2" w:rsidRPr="00637DA2" w:rsidRDefault="008A2F0D" w:rsidP="008A2F0D">
            <w:pPr>
              <w:jc w:val="center"/>
              <w:rPr>
                <w:rFonts w:ascii="Arial" w:hAnsi="Arial" w:cs="Arial"/>
              </w:rPr>
            </w:pPr>
            <w:r>
              <w:rPr>
                <w:rFonts w:ascii="Arial" w:hAnsi="Arial" w:cs="Arial"/>
              </w:rPr>
              <w:t>2.8</w:t>
            </w:r>
          </w:p>
        </w:tc>
        <w:tc>
          <w:tcPr>
            <w:tcW w:w="2088" w:type="dxa"/>
          </w:tcPr>
          <w:p w14:paraId="55586541" w14:textId="029B1FC1" w:rsidR="00637DA2" w:rsidRPr="008A2F0D" w:rsidRDefault="008A2F0D" w:rsidP="008A2F0D">
            <w:pPr>
              <w:jc w:val="center"/>
              <w:rPr>
                <w:rFonts w:ascii="Arial" w:hAnsi="Arial" w:cs="Arial"/>
              </w:rPr>
            </w:pPr>
            <w:r w:rsidRPr="008A2F0D">
              <w:rPr>
                <w:rFonts w:ascii="Arial" w:hAnsi="Arial" w:cs="Arial"/>
              </w:rPr>
              <w:t>--</w:t>
            </w:r>
          </w:p>
        </w:tc>
      </w:tr>
      <w:tr w:rsidR="00637DA2" w14:paraId="7917C0DB" w14:textId="77777777" w:rsidTr="006D5986">
        <w:tc>
          <w:tcPr>
            <w:tcW w:w="2628" w:type="dxa"/>
          </w:tcPr>
          <w:p w14:paraId="6E3C4A39" w14:textId="77777777" w:rsidR="00637DA2" w:rsidRPr="00637DA2" w:rsidRDefault="00637DA2" w:rsidP="00C330D6">
            <w:pPr>
              <w:rPr>
                <w:rFonts w:ascii="Arial" w:hAnsi="Arial" w:cs="Arial"/>
              </w:rPr>
            </w:pPr>
            <w:r w:rsidRPr="00637DA2">
              <w:rPr>
                <w:rFonts w:ascii="Arial" w:hAnsi="Arial" w:cs="Arial"/>
              </w:rPr>
              <w:t>Final 2035 MVEB</w:t>
            </w:r>
          </w:p>
        </w:tc>
        <w:tc>
          <w:tcPr>
            <w:tcW w:w="1202" w:type="dxa"/>
          </w:tcPr>
          <w:p w14:paraId="19F85516" w14:textId="505326EC" w:rsidR="00637DA2" w:rsidRPr="00637DA2" w:rsidRDefault="008A2F0D" w:rsidP="008A2F0D">
            <w:pPr>
              <w:jc w:val="center"/>
              <w:rPr>
                <w:rFonts w:ascii="Arial" w:hAnsi="Arial" w:cs="Arial"/>
              </w:rPr>
            </w:pPr>
            <w:r>
              <w:rPr>
                <w:rFonts w:ascii="Arial" w:hAnsi="Arial" w:cs="Arial"/>
              </w:rPr>
              <w:t>1.5</w:t>
            </w:r>
          </w:p>
        </w:tc>
        <w:tc>
          <w:tcPr>
            <w:tcW w:w="1915" w:type="dxa"/>
          </w:tcPr>
          <w:p w14:paraId="66E4E184" w14:textId="66336B90" w:rsidR="00637DA2" w:rsidRPr="00637DA2" w:rsidRDefault="008A2F0D" w:rsidP="008A2F0D">
            <w:pPr>
              <w:jc w:val="center"/>
              <w:rPr>
                <w:rFonts w:ascii="Arial" w:hAnsi="Arial" w:cs="Arial"/>
              </w:rPr>
            </w:pPr>
            <w:r>
              <w:rPr>
                <w:rFonts w:ascii="Arial" w:hAnsi="Arial" w:cs="Arial"/>
              </w:rPr>
              <w:t>6.</w:t>
            </w:r>
            <w:r w:rsidR="00E7139A">
              <w:rPr>
                <w:rFonts w:ascii="Arial" w:hAnsi="Arial" w:cs="Arial"/>
              </w:rPr>
              <w:t>5</w:t>
            </w:r>
          </w:p>
        </w:tc>
        <w:tc>
          <w:tcPr>
            <w:tcW w:w="1743" w:type="dxa"/>
          </w:tcPr>
          <w:p w14:paraId="75AC6B74" w14:textId="3A04BDC6" w:rsidR="00637DA2" w:rsidRPr="00637DA2" w:rsidRDefault="008A2F0D" w:rsidP="008A2F0D">
            <w:pPr>
              <w:jc w:val="center"/>
              <w:rPr>
                <w:rFonts w:ascii="Arial" w:hAnsi="Arial" w:cs="Arial"/>
              </w:rPr>
            </w:pPr>
            <w:r>
              <w:rPr>
                <w:rFonts w:ascii="Arial" w:hAnsi="Arial" w:cs="Arial"/>
              </w:rPr>
              <w:t>7.0</w:t>
            </w:r>
          </w:p>
        </w:tc>
        <w:tc>
          <w:tcPr>
            <w:tcW w:w="2088" w:type="dxa"/>
          </w:tcPr>
          <w:p w14:paraId="72A32D8F" w14:textId="6EB65AAE" w:rsidR="00637DA2" w:rsidRPr="008A2F0D" w:rsidRDefault="008A2F0D" w:rsidP="00B1647C">
            <w:pPr>
              <w:keepNext/>
              <w:jc w:val="center"/>
              <w:rPr>
                <w:rFonts w:ascii="Arial" w:hAnsi="Arial" w:cs="Arial"/>
              </w:rPr>
            </w:pPr>
            <w:r w:rsidRPr="008A2F0D">
              <w:rPr>
                <w:rFonts w:ascii="Arial" w:hAnsi="Arial" w:cs="Arial"/>
              </w:rPr>
              <w:t>29.</w:t>
            </w:r>
            <w:r w:rsidR="00015B91">
              <w:rPr>
                <w:rFonts w:ascii="Arial" w:hAnsi="Arial" w:cs="Arial"/>
              </w:rPr>
              <w:t>5</w:t>
            </w:r>
            <w:r w:rsidRPr="008A2F0D">
              <w:t xml:space="preserve"> µg/m</w:t>
            </w:r>
            <w:r w:rsidRPr="008A2F0D">
              <w:rPr>
                <w:vertAlign w:val="superscript"/>
              </w:rPr>
              <w:t>3</w:t>
            </w:r>
          </w:p>
        </w:tc>
      </w:tr>
    </w:tbl>
    <w:p w14:paraId="2B79637A" w14:textId="564B7293" w:rsidR="00B1647C" w:rsidRDefault="00B1647C" w:rsidP="00B1647C">
      <w:pPr>
        <w:pStyle w:val="Caption"/>
      </w:pPr>
      <w:bookmarkStart w:id="118" w:name="_Toc17201285"/>
      <w:bookmarkStart w:id="119" w:name="_Toc15906997"/>
      <w:r>
        <w:t xml:space="preserve">Table IX.A.27. </w:t>
      </w:r>
      <w:fldSimple w:instr=" SEQ Table_IX.A.27. \* ARABIC ">
        <w:r w:rsidR="00C012A9">
          <w:rPr>
            <w:noProof/>
          </w:rPr>
          <w:t>11</w:t>
        </w:r>
      </w:fldSimple>
      <w:r>
        <w:t xml:space="preserve"> </w:t>
      </w:r>
      <w:r w:rsidRPr="00BA5E9E">
        <w:t xml:space="preserve">2035 </w:t>
      </w:r>
      <w:proofErr w:type="spellStart"/>
      <w:r w:rsidRPr="00BA5E9E">
        <w:t>Mountainland</w:t>
      </w:r>
      <w:proofErr w:type="spellEnd"/>
      <w:r w:rsidRPr="00BA5E9E">
        <w:t xml:space="preserve"> Association of Government</w:t>
      </w:r>
      <w:r w:rsidR="003F6892">
        <w:t>’</w:t>
      </w:r>
      <w:r w:rsidRPr="00BA5E9E">
        <w:t>s Motor Vehicle Emission Budget</w:t>
      </w:r>
      <w:bookmarkEnd w:id="118"/>
      <w:r w:rsidR="002429AB">
        <w:t xml:space="preserve"> in Tons per Winter Weekday</w:t>
      </w:r>
    </w:p>
    <w:bookmarkEnd w:id="119"/>
    <w:p w14:paraId="667BCB24" w14:textId="77777777" w:rsidR="00B1647C" w:rsidRDefault="00B1647C" w:rsidP="006D7A3A"/>
    <w:p w14:paraId="77A95AAB" w14:textId="2E8CB155" w:rsidR="006D7A3A" w:rsidRPr="006D7A3A" w:rsidRDefault="006D7A3A" w:rsidP="006D7A3A">
      <w:r w:rsidRPr="006D7A3A">
        <w:t xml:space="preserve">It is important to note that the MVEBs presented in </w:t>
      </w:r>
      <w:r w:rsidRPr="00BC3766">
        <w:rPr>
          <w:color w:val="00B050"/>
        </w:rPr>
        <w:t>Table IX.A.</w:t>
      </w:r>
      <w:r w:rsidR="00E6651B" w:rsidRPr="00BC3766">
        <w:rPr>
          <w:color w:val="00B050"/>
        </w:rPr>
        <w:t>27</w:t>
      </w:r>
      <w:r w:rsidRPr="00BC3766">
        <w:rPr>
          <w:color w:val="00B050"/>
        </w:rPr>
        <w:t>.9</w:t>
      </w:r>
      <w:r w:rsidRPr="006D7A3A">
        <w:t xml:space="preserve"> are somewhat different from the on-road summary emissions inventory presented in </w:t>
      </w:r>
      <w:r w:rsidRPr="00BC3766">
        <w:rPr>
          <w:color w:val="00B050"/>
        </w:rPr>
        <w:t>Table IX.A.</w:t>
      </w:r>
      <w:r w:rsidR="00E6651B" w:rsidRPr="00BC3766">
        <w:rPr>
          <w:color w:val="00B050"/>
        </w:rPr>
        <w:t>27</w:t>
      </w:r>
      <w:r w:rsidRPr="00BC3766">
        <w:rPr>
          <w:color w:val="00B050"/>
        </w:rPr>
        <w:t>.8</w:t>
      </w:r>
      <w:r w:rsidRPr="006D7A3A">
        <w:t>.  </w:t>
      </w:r>
    </w:p>
    <w:p w14:paraId="370845F6" w14:textId="1973B930" w:rsidR="006D7A3A" w:rsidRPr="006D7A3A" w:rsidRDefault="006D7A3A" w:rsidP="006D7A3A">
      <w:r w:rsidRPr="006D7A3A">
        <w:t xml:space="preserve">Overall the emissions established as MVEBs are calculated using MOVES to reflect an average winter weekday. The totals presented in the summary emissions inventory </w:t>
      </w:r>
      <w:r w:rsidRPr="00BC3766">
        <w:rPr>
          <w:color w:val="00B050"/>
        </w:rPr>
        <w:t>(Table IX.A.</w:t>
      </w:r>
      <w:r w:rsidR="005208EB" w:rsidRPr="00BC3766">
        <w:rPr>
          <w:color w:val="00B050"/>
        </w:rPr>
        <w:t>27</w:t>
      </w:r>
      <w:r w:rsidRPr="00BC3766">
        <w:rPr>
          <w:color w:val="00B050"/>
        </w:rPr>
        <w:t>.8</w:t>
      </w:r>
      <w:r w:rsidRPr="006D7A3A">
        <w:t>), however, represent an average-episode-day. The episode used to make this average (December 31, 2010 through January 10</w:t>
      </w:r>
      <w:r w:rsidR="00686BDC">
        <w:t>, 2011</w:t>
      </w:r>
      <w:r w:rsidRPr="006D7A3A">
        <w:t>) includes seven such winter weekdays, but also includes two weekends. Emissions produced on weekdays are significantly larger than those produced on both Saturdays and Sundays. Therefore, the weighted average of daily emissions calculated for an episode-day will be less than that of a weekday.</w:t>
      </w:r>
    </w:p>
    <w:p w14:paraId="6A1482FF" w14:textId="5B84B6CE" w:rsidR="006C46D4" w:rsidRDefault="006C46D4" w:rsidP="006C46D4">
      <w:r w:rsidRPr="006A2777">
        <w:t>There are also some conventions to be considered in the establishment of MVEBs. In particular</w:t>
      </w:r>
      <w:r>
        <w:t xml:space="preserve">, </w:t>
      </w:r>
      <w:r w:rsidRPr="006A2777">
        <w:t>PM</w:t>
      </w:r>
      <w:r w:rsidRPr="006A2777">
        <w:rPr>
          <w:vertAlign w:val="subscript"/>
        </w:rPr>
        <w:t>2.5</w:t>
      </w:r>
      <w:r w:rsidRPr="006A2777">
        <w:t xml:space="preserve"> in the </w:t>
      </w:r>
      <w:r>
        <w:t>summary emissions inventory</w:t>
      </w:r>
      <w:r w:rsidRPr="006A2777">
        <w:t xml:space="preserve"> totals includes direct exhaust, tire &amp; brake wear, and fugitive dust. For the MVEBs PM</w:t>
      </w:r>
      <w:r w:rsidRPr="006A2777">
        <w:rPr>
          <w:vertAlign w:val="subscript"/>
        </w:rPr>
        <w:t>2.5</w:t>
      </w:r>
      <w:r w:rsidRPr="006A2777">
        <w:t xml:space="preserve"> includes direct exhaust, tire &amp; brake but no fugitive dust.</w:t>
      </w:r>
      <w:r>
        <w:t xml:space="preserve"> </w:t>
      </w:r>
      <w:r w:rsidRPr="006A2777">
        <w:t>VOC emissions in the</w:t>
      </w:r>
      <w:r>
        <w:t xml:space="preserve"> summary emissions inventory</w:t>
      </w:r>
      <w:r w:rsidRPr="006A2777">
        <w:t xml:space="preserve"> include refueling spillage and displacement vapor loss</w:t>
      </w:r>
      <w:r>
        <w:t xml:space="preserve"> and are counted in the on-road mobile category. </w:t>
      </w:r>
      <w:r w:rsidRPr="006A2777">
        <w:t xml:space="preserve">MVEBs for VOC do not include these emissions because, in this context, they are regarded as an </w:t>
      </w:r>
      <w:r>
        <w:t>a</w:t>
      </w:r>
      <w:r w:rsidRPr="006A2777">
        <w:t xml:space="preserve">rea </w:t>
      </w:r>
      <w:r>
        <w:t>s</w:t>
      </w:r>
      <w:r w:rsidRPr="006A2777">
        <w:t>ource.</w:t>
      </w:r>
    </w:p>
    <w:p w14:paraId="7302D8FB" w14:textId="0CFDBC7F" w:rsidR="00F53BEF" w:rsidRDefault="00F53BEF" w:rsidP="00F53BEF">
      <w:r w:rsidRPr="00A64BCF">
        <w:t>40 CFR 93.118((b)(2)(</w:t>
      </w:r>
      <w:proofErr w:type="spellStart"/>
      <w:r w:rsidRPr="00A64BCF">
        <w:t>i</w:t>
      </w:r>
      <w:proofErr w:type="spellEnd"/>
      <w:r w:rsidRPr="00A64BCF">
        <w:t>)</w:t>
      </w:r>
      <w:r>
        <w:t xml:space="preserve"> also states “</w:t>
      </w:r>
      <w:r w:rsidRPr="00A64BCF">
        <w:t>If the maintenance plan does not establish motor vehicle emissions budgets for any years other than the last year of the maintenance plan, the conformity regulation requires that a "demonstration of consistency with the motor vehicle emissions budget(s) must be accompanied by a qualitative finding that there are not factors which would cause or contribute to a new violation or exacerbate an existing violation in the years before the last year of the maintenance plan.</w:t>
      </w:r>
      <w:r w:rsidR="00712B22">
        <w:t>”</w:t>
      </w:r>
      <w:r w:rsidRPr="00A64BCF">
        <w:t xml:space="preserve"> </w:t>
      </w:r>
    </w:p>
    <w:p w14:paraId="51E43261" w14:textId="51EC3A8D" w:rsidR="00513F1C" w:rsidRPr="005435BE" w:rsidRDefault="00513F1C" w:rsidP="00513F1C">
      <w:r>
        <w:t xml:space="preserve">Considering this, it is useful to compare the projected future design values in 2026 at all monitors in the NAA to the on-road mobile emission inventory as well as the percent of the total inventory that the on-road mobile sector comprises. As can be seen in </w:t>
      </w:r>
      <w:r w:rsidRPr="00BC3766">
        <w:rPr>
          <w:color w:val="00B050"/>
        </w:rPr>
        <w:t>Table IX.A.27.</w:t>
      </w:r>
      <w:r w:rsidR="00193EB8">
        <w:rPr>
          <w:color w:val="00B050"/>
        </w:rPr>
        <w:t>9</w:t>
      </w:r>
      <w:r w:rsidR="00BC3766" w:rsidRPr="00BD7E53">
        <w:t>,</w:t>
      </w:r>
      <w:r w:rsidRPr="00BD7E53">
        <w:t xml:space="preserve"> the</w:t>
      </w:r>
      <w:r>
        <w:t xml:space="preserve"> design values </w:t>
      </w:r>
      <w:r w:rsidRPr="00513F1C">
        <w:rPr>
          <w:color w:val="00B050"/>
        </w:rPr>
        <w:t>in the Provo NAA are 29.</w:t>
      </w:r>
      <w:r w:rsidR="00193EB8">
        <w:rPr>
          <w:color w:val="00B050"/>
        </w:rPr>
        <w:t>1</w:t>
      </w:r>
      <w:r w:rsidRPr="00513F1C">
        <w:rPr>
          <w:color w:val="00B050"/>
        </w:rPr>
        <w:t xml:space="preserve"> and 28.4 µg/m</w:t>
      </w:r>
      <w:r w:rsidRPr="00513F1C">
        <w:rPr>
          <w:color w:val="00B050"/>
          <w:vertAlign w:val="superscript"/>
        </w:rPr>
        <w:t>3</w:t>
      </w:r>
      <w:r w:rsidRPr="00513F1C">
        <w:rPr>
          <w:color w:val="00B050"/>
        </w:rPr>
        <w:t>. The Lindon monitor shows the highest value at 29.</w:t>
      </w:r>
      <w:r w:rsidR="0008754C">
        <w:rPr>
          <w:color w:val="00B050"/>
        </w:rPr>
        <w:t>1</w:t>
      </w:r>
      <w:r w:rsidRPr="00513F1C">
        <w:rPr>
          <w:color w:val="00B050"/>
        </w:rPr>
        <w:t xml:space="preserve"> </w:t>
      </w:r>
      <w:bookmarkStart w:id="120" w:name="_Hlk15300939"/>
      <w:r w:rsidRPr="00513F1C">
        <w:rPr>
          <w:color w:val="00B050"/>
        </w:rPr>
        <w:t>µg/m</w:t>
      </w:r>
      <w:r w:rsidRPr="00513F1C">
        <w:rPr>
          <w:color w:val="00B050"/>
          <w:vertAlign w:val="superscript"/>
        </w:rPr>
        <w:t>3</w:t>
      </w:r>
      <w:bookmarkEnd w:id="120"/>
      <w:r w:rsidRPr="00513F1C">
        <w:rPr>
          <w:color w:val="00B050"/>
        </w:rPr>
        <w:t>, which is 5.</w:t>
      </w:r>
      <w:r w:rsidR="00193EB8">
        <w:rPr>
          <w:color w:val="00B050"/>
        </w:rPr>
        <w:t>9</w:t>
      </w:r>
      <w:r w:rsidRPr="00513F1C">
        <w:rPr>
          <w:color w:val="00B050"/>
        </w:rPr>
        <w:t xml:space="preserve"> µg/m</w:t>
      </w:r>
      <w:r w:rsidRPr="00513F1C">
        <w:rPr>
          <w:color w:val="00B050"/>
          <w:vertAlign w:val="superscript"/>
        </w:rPr>
        <w:t>3</w:t>
      </w:r>
      <w:r>
        <w:t xml:space="preserve"> below the standard. The on-road mobile source contribution to the overall inventory is shown in Table </w:t>
      </w:r>
      <w:r w:rsidRPr="005435BE">
        <w:rPr>
          <w:color w:val="00B050"/>
        </w:rPr>
        <w:t>IX.A.</w:t>
      </w:r>
      <w:r w:rsidR="00111A77" w:rsidRPr="005435BE">
        <w:rPr>
          <w:color w:val="00B050"/>
        </w:rPr>
        <w:t>27</w:t>
      </w:r>
      <w:r w:rsidRPr="005435BE">
        <w:rPr>
          <w:color w:val="00B050"/>
        </w:rPr>
        <w:t>.1</w:t>
      </w:r>
      <w:r w:rsidR="00CC4AE6">
        <w:rPr>
          <w:color w:val="00B050"/>
        </w:rPr>
        <w:t>2</w:t>
      </w:r>
      <w:r w:rsidR="005435BE">
        <w:t>.</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708"/>
        <w:gridCol w:w="1162"/>
        <w:gridCol w:w="1088"/>
        <w:gridCol w:w="990"/>
      </w:tblGrid>
      <w:tr w:rsidR="00513F1C" w14:paraId="6A044A76" w14:textId="77777777" w:rsidTr="00DE40FE">
        <w:tc>
          <w:tcPr>
            <w:tcW w:w="3708" w:type="dxa"/>
            <w:shd w:val="clear" w:color="auto" w:fill="D9D9D9" w:themeFill="background1" w:themeFillShade="D9"/>
          </w:tcPr>
          <w:p w14:paraId="3A6D8164" w14:textId="77777777" w:rsidR="00513F1C" w:rsidRPr="00E7644E" w:rsidRDefault="00513F1C" w:rsidP="00DE40FE">
            <w:pPr>
              <w:rPr>
                <w:rFonts w:ascii="Arial" w:hAnsi="Arial" w:cs="Arial"/>
                <w:b/>
                <w:sz w:val="20"/>
                <w:szCs w:val="20"/>
              </w:rPr>
            </w:pPr>
            <w:r w:rsidRPr="00E7644E">
              <w:rPr>
                <w:rFonts w:ascii="Arial" w:hAnsi="Arial" w:cs="Arial"/>
                <w:b/>
                <w:sz w:val="20"/>
                <w:szCs w:val="20"/>
              </w:rPr>
              <w:t>Emissions tons/day</w:t>
            </w:r>
          </w:p>
        </w:tc>
        <w:tc>
          <w:tcPr>
            <w:tcW w:w="1162" w:type="dxa"/>
            <w:shd w:val="clear" w:color="auto" w:fill="D9D9D9" w:themeFill="background1" w:themeFillShade="D9"/>
          </w:tcPr>
          <w:p w14:paraId="16099E1D" w14:textId="77777777" w:rsidR="00513F1C" w:rsidRPr="00A3485A" w:rsidRDefault="00513F1C" w:rsidP="00DE40FE">
            <w:pPr>
              <w:rPr>
                <w:rFonts w:ascii="Arial" w:hAnsi="Arial" w:cs="Arial"/>
                <w:b/>
                <w:sz w:val="20"/>
                <w:szCs w:val="20"/>
              </w:rPr>
            </w:pPr>
            <w:r w:rsidRPr="00A3485A">
              <w:rPr>
                <w:rFonts w:ascii="Arial" w:hAnsi="Arial" w:cs="Arial"/>
                <w:b/>
                <w:sz w:val="20"/>
                <w:szCs w:val="20"/>
              </w:rPr>
              <w:t>PM</w:t>
            </w:r>
            <w:r w:rsidRPr="00A3485A">
              <w:rPr>
                <w:rFonts w:ascii="Arial" w:hAnsi="Arial" w:cs="Arial"/>
                <w:b/>
                <w:sz w:val="20"/>
                <w:szCs w:val="20"/>
                <w:vertAlign w:val="subscript"/>
              </w:rPr>
              <w:t>2.5</w:t>
            </w:r>
          </w:p>
        </w:tc>
        <w:tc>
          <w:tcPr>
            <w:tcW w:w="1088" w:type="dxa"/>
            <w:shd w:val="clear" w:color="auto" w:fill="D9D9D9" w:themeFill="background1" w:themeFillShade="D9"/>
          </w:tcPr>
          <w:p w14:paraId="0A038EA3" w14:textId="77777777" w:rsidR="00513F1C" w:rsidRPr="00A3485A" w:rsidRDefault="00513F1C" w:rsidP="00DE40FE">
            <w:pPr>
              <w:rPr>
                <w:rFonts w:ascii="Arial" w:hAnsi="Arial" w:cs="Arial"/>
                <w:b/>
                <w:sz w:val="20"/>
                <w:szCs w:val="20"/>
              </w:rPr>
            </w:pPr>
            <w:r w:rsidRPr="00A3485A">
              <w:rPr>
                <w:rFonts w:ascii="Arial" w:hAnsi="Arial" w:cs="Arial"/>
                <w:b/>
                <w:sz w:val="20"/>
                <w:szCs w:val="20"/>
              </w:rPr>
              <w:t>NO</w:t>
            </w:r>
            <w:r w:rsidRPr="00A3485A">
              <w:rPr>
                <w:rFonts w:ascii="Arial" w:hAnsi="Arial" w:cs="Arial"/>
                <w:b/>
                <w:sz w:val="20"/>
                <w:szCs w:val="20"/>
                <w:vertAlign w:val="subscript"/>
              </w:rPr>
              <w:t>X</w:t>
            </w:r>
          </w:p>
        </w:tc>
        <w:tc>
          <w:tcPr>
            <w:tcW w:w="990" w:type="dxa"/>
            <w:shd w:val="clear" w:color="auto" w:fill="D9D9D9" w:themeFill="background1" w:themeFillShade="D9"/>
          </w:tcPr>
          <w:p w14:paraId="4583BD5C" w14:textId="77777777" w:rsidR="00513F1C" w:rsidRPr="00A3485A" w:rsidRDefault="00513F1C" w:rsidP="00DE40FE">
            <w:pPr>
              <w:rPr>
                <w:rFonts w:ascii="Arial" w:hAnsi="Arial" w:cs="Arial"/>
                <w:b/>
                <w:sz w:val="20"/>
                <w:szCs w:val="20"/>
              </w:rPr>
            </w:pPr>
            <w:r w:rsidRPr="00A3485A">
              <w:rPr>
                <w:rFonts w:ascii="Arial" w:hAnsi="Arial" w:cs="Arial"/>
                <w:b/>
                <w:sz w:val="20"/>
                <w:szCs w:val="20"/>
              </w:rPr>
              <w:t>VOC</w:t>
            </w:r>
          </w:p>
        </w:tc>
      </w:tr>
      <w:tr w:rsidR="00513F1C" w14:paraId="3A4B7D5A" w14:textId="77777777" w:rsidTr="00DE40FE">
        <w:tc>
          <w:tcPr>
            <w:tcW w:w="3708" w:type="dxa"/>
          </w:tcPr>
          <w:p w14:paraId="41A97B1E" w14:textId="77777777" w:rsidR="00513F1C" w:rsidRPr="00750285" w:rsidRDefault="00513F1C" w:rsidP="00DE40FE">
            <w:pPr>
              <w:rPr>
                <w:rFonts w:ascii="Arial" w:hAnsi="Arial" w:cs="Arial"/>
                <w:sz w:val="20"/>
                <w:szCs w:val="20"/>
              </w:rPr>
            </w:pPr>
            <w:r w:rsidRPr="00750285">
              <w:rPr>
                <w:rFonts w:ascii="Arial" w:hAnsi="Arial" w:cs="Arial"/>
                <w:sz w:val="20"/>
                <w:szCs w:val="20"/>
              </w:rPr>
              <w:t>2026 emission inventory total</w:t>
            </w:r>
          </w:p>
        </w:tc>
        <w:tc>
          <w:tcPr>
            <w:tcW w:w="1162" w:type="dxa"/>
          </w:tcPr>
          <w:p w14:paraId="1DE4F71B" w14:textId="1716EBA1" w:rsidR="00513F1C" w:rsidRPr="00750285" w:rsidRDefault="00111A77" w:rsidP="00DE40FE">
            <w:pPr>
              <w:rPr>
                <w:rFonts w:ascii="Arial" w:hAnsi="Arial" w:cs="Arial"/>
                <w:sz w:val="20"/>
                <w:szCs w:val="20"/>
              </w:rPr>
            </w:pPr>
            <w:r>
              <w:rPr>
                <w:rFonts w:ascii="Arial" w:hAnsi="Arial" w:cs="Arial"/>
                <w:sz w:val="20"/>
                <w:szCs w:val="20"/>
              </w:rPr>
              <w:t>3.08</w:t>
            </w:r>
          </w:p>
        </w:tc>
        <w:tc>
          <w:tcPr>
            <w:tcW w:w="1088" w:type="dxa"/>
          </w:tcPr>
          <w:p w14:paraId="73E88C0A" w14:textId="5A84ED39" w:rsidR="00513F1C" w:rsidRPr="00750285" w:rsidRDefault="00111A77" w:rsidP="00DE40FE">
            <w:pPr>
              <w:rPr>
                <w:rFonts w:ascii="Arial" w:hAnsi="Arial" w:cs="Arial"/>
                <w:sz w:val="20"/>
                <w:szCs w:val="20"/>
              </w:rPr>
            </w:pPr>
            <w:r>
              <w:rPr>
                <w:rFonts w:ascii="Arial" w:hAnsi="Arial" w:cs="Arial"/>
                <w:sz w:val="20"/>
                <w:szCs w:val="20"/>
              </w:rPr>
              <w:t>12.46</w:t>
            </w:r>
          </w:p>
        </w:tc>
        <w:tc>
          <w:tcPr>
            <w:tcW w:w="990" w:type="dxa"/>
          </w:tcPr>
          <w:p w14:paraId="3B51558B" w14:textId="57ECC4C4" w:rsidR="00513F1C" w:rsidRPr="00750285" w:rsidRDefault="00111A77" w:rsidP="00DE40FE">
            <w:pPr>
              <w:rPr>
                <w:rFonts w:ascii="Arial" w:hAnsi="Arial" w:cs="Arial"/>
                <w:sz w:val="20"/>
                <w:szCs w:val="20"/>
              </w:rPr>
            </w:pPr>
            <w:r>
              <w:rPr>
                <w:rFonts w:ascii="Arial" w:hAnsi="Arial" w:cs="Arial"/>
                <w:sz w:val="20"/>
                <w:szCs w:val="20"/>
              </w:rPr>
              <w:t>20.6</w:t>
            </w:r>
          </w:p>
        </w:tc>
      </w:tr>
      <w:tr w:rsidR="00513F1C" w14:paraId="236E7FF8" w14:textId="77777777" w:rsidTr="00DE40FE">
        <w:tc>
          <w:tcPr>
            <w:tcW w:w="3708" w:type="dxa"/>
          </w:tcPr>
          <w:p w14:paraId="7D14C6F3" w14:textId="77777777" w:rsidR="00513F1C" w:rsidRPr="00750285" w:rsidRDefault="00513F1C" w:rsidP="00DE40FE">
            <w:pPr>
              <w:rPr>
                <w:rFonts w:ascii="Arial" w:hAnsi="Arial" w:cs="Arial"/>
                <w:sz w:val="20"/>
                <w:szCs w:val="20"/>
              </w:rPr>
            </w:pPr>
            <w:r w:rsidRPr="00750285">
              <w:rPr>
                <w:rFonts w:ascii="Arial" w:hAnsi="Arial" w:cs="Arial"/>
                <w:sz w:val="20"/>
                <w:szCs w:val="20"/>
              </w:rPr>
              <w:t>2026 on-road mobile inventory</w:t>
            </w:r>
          </w:p>
        </w:tc>
        <w:tc>
          <w:tcPr>
            <w:tcW w:w="1162" w:type="dxa"/>
          </w:tcPr>
          <w:p w14:paraId="21214FA4" w14:textId="4ECF1A4E" w:rsidR="00513F1C" w:rsidRPr="00750285" w:rsidRDefault="00111A77" w:rsidP="00DE40FE">
            <w:pPr>
              <w:rPr>
                <w:rFonts w:ascii="Arial" w:hAnsi="Arial" w:cs="Arial"/>
                <w:sz w:val="20"/>
                <w:szCs w:val="20"/>
              </w:rPr>
            </w:pPr>
            <w:r>
              <w:rPr>
                <w:rFonts w:ascii="Arial" w:hAnsi="Arial" w:cs="Arial"/>
                <w:sz w:val="20"/>
                <w:szCs w:val="20"/>
              </w:rPr>
              <w:t>.42</w:t>
            </w:r>
          </w:p>
        </w:tc>
        <w:tc>
          <w:tcPr>
            <w:tcW w:w="1088" w:type="dxa"/>
          </w:tcPr>
          <w:p w14:paraId="15F907B2" w14:textId="22365E96" w:rsidR="00513F1C" w:rsidRPr="00750285" w:rsidRDefault="00111A77" w:rsidP="00DE40FE">
            <w:pPr>
              <w:rPr>
                <w:rFonts w:ascii="Arial" w:hAnsi="Arial" w:cs="Arial"/>
                <w:sz w:val="20"/>
                <w:szCs w:val="20"/>
              </w:rPr>
            </w:pPr>
            <w:r>
              <w:rPr>
                <w:rFonts w:ascii="Arial" w:hAnsi="Arial" w:cs="Arial"/>
                <w:sz w:val="20"/>
                <w:szCs w:val="20"/>
              </w:rPr>
              <w:t>5.79</w:t>
            </w:r>
          </w:p>
        </w:tc>
        <w:tc>
          <w:tcPr>
            <w:tcW w:w="990" w:type="dxa"/>
          </w:tcPr>
          <w:p w14:paraId="0DA8E539" w14:textId="005BFDA8" w:rsidR="00513F1C" w:rsidRPr="00750285" w:rsidRDefault="00111A77" w:rsidP="00DE40FE">
            <w:pPr>
              <w:rPr>
                <w:rFonts w:ascii="Arial" w:hAnsi="Arial" w:cs="Arial"/>
                <w:sz w:val="20"/>
                <w:szCs w:val="20"/>
              </w:rPr>
            </w:pPr>
            <w:r>
              <w:rPr>
                <w:rFonts w:ascii="Arial" w:hAnsi="Arial" w:cs="Arial"/>
                <w:sz w:val="20"/>
                <w:szCs w:val="20"/>
              </w:rPr>
              <w:t>4.58</w:t>
            </w:r>
          </w:p>
        </w:tc>
      </w:tr>
      <w:tr w:rsidR="00513F1C" w14:paraId="1EABF290" w14:textId="77777777" w:rsidTr="00DE40FE">
        <w:tc>
          <w:tcPr>
            <w:tcW w:w="3708" w:type="dxa"/>
          </w:tcPr>
          <w:p w14:paraId="613012C6" w14:textId="77777777" w:rsidR="00513F1C" w:rsidRPr="00750285" w:rsidRDefault="00513F1C" w:rsidP="00DE40FE">
            <w:pPr>
              <w:rPr>
                <w:rFonts w:ascii="Arial" w:hAnsi="Arial" w:cs="Arial"/>
                <w:sz w:val="20"/>
                <w:szCs w:val="20"/>
              </w:rPr>
            </w:pPr>
            <w:r w:rsidRPr="00750285">
              <w:rPr>
                <w:rFonts w:ascii="Arial" w:hAnsi="Arial" w:cs="Arial"/>
                <w:sz w:val="20"/>
                <w:szCs w:val="20"/>
              </w:rPr>
              <w:t>On-road mobile % of total inventory</w:t>
            </w:r>
          </w:p>
        </w:tc>
        <w:tc>
          <w:tcPr>
            <w:tcW w:w="1162" w:type="dxa"/>
          </w:tcPr>
          <w:p w14:paraId="0C4D334A" w14:textId="461C471F" w:rsidR="00513F1C" w:rsidRPr="00750285" w:rsidRDefault="00111A77" w:rsidP="00DE40FE">
            <w:pPr>
              <w:rPr>
                <w:rFonts w:ascii="Arial" w:hAnsi="Arial" w:cs="Arial"/>
                <w:sz w:val="20"/>
                <w:szCs w:val="20"/>
              </w:rPr>
            </w:pPr>
            <w:r>
              <w:rPr>
                <w:rFonts w:ascii="Arial" w:hAnsi="Arial" w:cs="Arial"/>
                <w:sz w:val="20"/>
                <w:szCs w:val="20"/>
              </w:rPr>
              <w:t>13.64%</w:t>
            </w:r>
          </w:p>
        </w:tc>
        <w:tc>
          <w:tcPr>
            <w:tcW w:w="1088" w:type="dxa"/>
          </w:tcPr>
          <w:p w14:paraId="08B54CF1" w14:textId="4D84B0F5" w:rsidR="00513F1C" w:rsidRPr="00750285" w:rsidRDefault="00111A77" w:rsidP="00DE40FE">
            <w:pPr>
              <w:rPr>
                <w:rFonts w:ascii="Arial" w:hAnsi="Arial" w:cs="Arial"/>
                <w:sz w:val="20"/>
                <w:szCs w:val="20"/>
              </w:rPr>
            </w:pPr>
            <w:r>
              <w:rPr>
                <w:rFonts w:ascii="Arial" w:hAnsi="Arial" w:cs="Arial"/>
                <w:sz w:val="20"/>
                <w:szCs w:val="20"/>
              </w:rPr>
              <w:t>46.47%</w:t>
            </w:r>
          </w:p>
        </w:tc>
        <w:tc>
          <w:tcPr>
            <w:tcW w:w="990" w:type="dxa"/>
          </w:tcPr>
          <w:p w14:paraId="2E556FBA" w14:textId="443CCC93" w:rsidR="00513F1C" w:rsidRPr="00750285" w:rsidRDefault="00111A77" w:rsidP="00B1647C">
            <w:pPr>
              <w:keepNext/>
              <w:rPr>
                <w:rFonts w:ascii="Arial" w:hAnsi="Arial" w:cs="Arial"/>
                <w:sz w:val="20"/>
                <w:szCs w:val="20"/>
              </w:rPr>
            </w:pPr>
            <w:r>
              <w:rPr>
                <w:rFonts w:ascii="Arial" w:hAnsi="Arial" w:cs="Arial"/>
                <w:sz w:val="20"/>
                <w:szCs w:val="20"/>
              </w:rPr>
              <w:t>22.23%</w:t>
            </w:r>
          </w:p>
        </w:tc>
      </w:tr>
    </w:tbl>
    <w:p w14:paraId="3761ABB0" w14:textId="5964D57D" w:rsidR="00B1647C" w:rsidRDefault="00B1647C">
      <w:pPr>
        <w:pStyle w:val="Caption"/>
      </w:pPr>
      <w:bookmarkStart w:id="121" w:name="_Toc17201286"/>
      <w:bookmarkStart w:id="122" w:name="_Toc15906998"/>
      <w:r>
        <w:t xml:space="preserve">Table IX.A.27. </w:t>
      </w:r>
      <w:fldSimple w:instr=" SEQ Table_IX.A.27. \* ARABIC ">
        <w:r w:rsidR="00C012A9">
          <w:rPr>
            <w:noProof/>
          </w:rPr>
          <w:t>12</w:t>
        </w:r>
      </w:fldSimple>
      <w:r w:rsidRPr="00B1647C">
        <w:t xml:space="preserve"> </w:t>
      </w:r>
      <w:r>
        <w:t>Comparison of 2026 On-Road Mobile Inventory to Total Emissions Inventory</w:t>
      </w:r>
      <w:bookmarkEnd w:id="121"/>
    </w:p>
    <w:bookmarkEnd w:id="122"/>
    <w:p w14:paraId="22861C0A" w14:textId="77777777" w:rsidR="00513F1C" w:rsidRPr="0017126F" w:rsidRDefault="00513F1C" w:rsidP="00513F1C"/>
    <w:p w14:paraId="0D31C02F" w14:textId="1F21ECA6" w:rsidR="00295961" w:rsidRDefault="00295961" w:rsidP="00295961">
      <w:pPr>
        <w:rPr>
          <w:shd w:val="clear" w:color="auto" w:fill="FFFFFF"/>
        </w:rPr>
      </w:pPr>
      <w:r w:rsidRPr="00295961">
        <w:rPr>
          <w:color w:val="00B050"/>
          <w:shd w:val="clear" w:color="auto" w:fill="FFFFFF"/>
        </w:rPr>
        <w:t>Although the on-road mobile NO</w:t>
      </w:r>
      <w:r w:rsidRPr="00295961">
        <w:rPr>
          <w:color w:val="00B050"/>
          <w:shd w:val="clear" w:color="auto" w:fill="FFFFFF"/>
          <w:vertAlign w:val="subscript"/>
        </w:rPr>
        <w:t>X</w:t>
      </w:r>
      <w:r w:rsidRPr="00295961">
        <w:rPr>
          <w:color w:val="00B050"/>
          <w:shd w:val="clear" w:color="auto" w:fill="FFFFFF"/>
        </w:rPr>
        <w:t xml:space="preserve"> contribution is almost half of the total NO</w:t>
      </w:r>
      <w:r w:rsidRPr="00295961">
        <w:rPr>
          <w:color w:val="00B050"/>
          <w:shd w:val="clear" w:color="auto" w:fill="FFFFFF"/>
          <w:vertAlign w:val="subscript"/>
        </w:rPr>
        <w:t>X</w:t>
      </w:r>
      <w:r w:rsidRPr="00295961">
        <w:rPr>
          <w:color w:val="00B050"/>
          <w:shd w:val="clear" w:color="auto" w:fill="FFFFFF"/>
        </w:rPr>
        <w:t xml:space="preserve"> in the inventory, the projected design value</w:t>
      </w:r>
      <w:r>
        <w:rPr>
          <w:color w:val="00B050"/>
          <w:shd w:val="clear" w:color="auto" w:fill="FFFFFF"/>
        </w:rPr>
        <w:t>s</w:t>
      </w:r>
      <w:r w:rsidRPr="00295961">
        <w:rPr>
          <w:color w:val="00B050"/>
          <w:shd w:val="clear" w:color="auto" w:fill="FFFFFF"/>
        </w:rPr>
        <w:t xml:space="preserve"> </w:t>
      </w:r>
      <w:r>
        <w:rPr>
          <w:color w:val="00B050"/>
          <w:shd w:val="clear" w:color="auto" w:fill="FFFFFF"/>
        </w:rPr>
        <w:t>are</w:t>
      </w:r>
      <w:r w:rsidRPr="00295961">
        <w:rPr>
          <w:color w:val="00B050"/>
          <w:shd w:val="clear" w:color="auto" w:fill="FFFFFF"/>
        </w:rPr>
        <w:t xml:space="preserve"> so far below the </w:t>
      </w:r>
      <w:r>
        <w:rPr>
          <w:color w:val="00B050"/>
          <w:shd w:val="clear" w:color="auto" w:fill="FFFFFF"/>
        </w:rPr>
        <w:t>standard</w:t>
      </w:r>
      <w:r>
        <w:rPr>
          <w:shd w:val="clear" w:color="auto" w:fill="FFFFFF"/>
        </w:rPr>
        <w:t>, UDAQ is confident that there will not be any on-road mobile factors that will cause or contribute to a new violation of the NAAQS.</w:t>
      </w:r>
    </w:p>
    <w:p w14:paraId="6203F0DB" w14:textId="0AEEAB1B" w:rsidR="00D53786" w:rsidRDefault="00513F1C" w:rsidP="00087E00">
      <w:pPr>
        <w:pStyle w:val="Heading4"/>
        <w:numPr>
          <w:ilvl w:val="0"/>
          <w:numId w:val="22"/>
        </w:numPr>
      </w:pPr>
      <w:r>
        <w:t xml:space="preserve"> </w:t>
      </w:r>
      <w:bookmarkStart w:id="123" w:name="_Toc17201212"/>
      <w:r w:rsidR="00D53786">
        <w:t>Trading Ratios for Transportation Conformity</w:t>
      </w:r>
      <w:bookmarkEnd w:id="123"/>
    </w:p>
    <w:p w14:paraId="646DD18B" w14:textId="53C61B54" w:rsidR="006D7A3A" w:rsidRPr="006D7A3A" w:rsidRDefault="006D7A3A" w:rsidP="006D7A3A">
      <w:r w:rsidRPr="006D7A3A">
        <w:t>Per section 93.124 of the conformity regulations, for transportation conformity analyses using these budgets in analysis years beyond 2035, a trading mechanism is established to allow future increases in on-road direct PM</w:t>
      </w:r>
      <w:r w:rsidRPr="006D7A3A">
        <w:rPr>
          <w:vertAlign w:val="subscript"/>
        </w:rPr>
        <w:t>2.5</w:t>
      </w:r>
      <w:r w:rsidRPr="006D7A3A">
        <w:t xml:space="preserve"> emissions to be offset by future decreases in plan precursor emissions from on-road mobile sources at appropriate ratios established by the air quality model.  Future increases in on-road direct PM</w:t>
      </w:r>
      <w:r w:rsidRPr="006D7A3A">
        <w:rPr>
          <w:vertAlign w:val="subscript"/>
        </w:rPr>
        <w:t>2.5</w:t>
      </w:r>
      <w:r w:rsidRPr="006D7A3A">
        <w:t xml:space="preserve"> emissions may be offset with future decreases in NO</w:t>
      </w:r>
      <w:r w:rsidRPr="006D7A3A">
        <w:rPr>
          <w:vertAlign w:val="subscript"/>
        </w:rPr>
        <w:t>x</w:t>
      </w:r>
      <w:r w:rsidRPr="006D7A3A">
        <w:t xml:space="preserve"> emissions from on-road mobile sources at a NO</w:t>
      </w:r>
      <w:r w:rsidRPr="006D7A3A">
        <w:rPr>
          <w:vertAlign w:val="subscript"/>
        </w:rPr>
        <w:t>x</w:t>
      </w:r>
      <w:r w:rsidRPr="006D7A3A">
        <w:t xml:space="preserve"> to PM</w:t>
      </w:r>
      <w:r w:rsidRPr="006D7A3A">
        <w:rPr>
          <w:vertAlign w:val="subscript"/>
        </w:rPr>
        <w:t xml:space="preserve">2.5 </w:t>
      </w:r>
      <w:r w:rsidRPr="006D7A3A">
        <w:t xml:space="preserve">ratio of </w:t>
      </w:r>
      <w:r w:rsidR="00E40739" w:rsidRPr="00933B75">
        <w:rPr>
          <w:color w:val="00B050"/>
        </w:rPr>
        <w:t>5.7</w:t>
      </w:r>
      <w:r w:rsidRPr="00933B75">
        <w:rPr>
          <w:b/>
          <w:color w:val="00B050"/>
        </w:rPr>
        <w:t xml:space="preserve"> </w:t>
      </w:r>
      <w:r w:rsidRPr="00933B75">
        <w:rPr>
          <w:color w:val="00B050"/>
        </w:rPr>
        <w:t xml:space="preserve">to 1 </w:t>
      </w:r>
      <w:r w:rsidRPr="006D7A3A">
        <w:t>and/or future decreases in VOC emissions from on-road mobile sources at a VOC to PM</w:t>
      </w:r>
      <w:r w:rsidRPr="006D7A3A">
        <w:rPr>
          <w:vertAlign w:val="subscript"/>
        </w:rPr>
        <w:t>2.5</w:t>
      </w:r>
      <w:r w:rsidRPr="006D7A3A">
        <w:t xml:space="preserve"> ratio of </w:t>
      </w:r>
      <w:r w:rsidR="004535BA" w:rsidRPr="00933B75">
        <w:rPr>
          <w:color w:val="00B050"/>
        </w:rPr>
        <w:t>28.6</w:t>
      </w:r>
      <w:r w:rsidRPr="00933B75">
        <w:rPr>
          <w:color w:val="00B050"/>
        </w:rPr>
        <w:t xml:space="preserve"> to 1</w:t>
      </w:r>
      <w:r w:rsidRPr="006D7A3A">
        <w:t>. This trading mechanism will only be used if needed for conformity analyses for years after 2035. To ensure that the trading mechanism does not impact the ability to meet the NO</w:t>
      </w:r>
      <w:r w:rsidRPr="006D7A3A">
        <w:rPr>
          <w:vertAlign w:val="subscript"/>
        </w:rPr>
        <w:t>x</w:t>
      </w:r>
      <w:r w:rsidRPr="006D7A3A">
        <w:t xml:space="preserve"> or VOC budgets, the NO</w:t>
      </w:r>
      <w:r w:rsidRPr="006D7A3A">
        <w:rPr>
          <w:vertAlign w:val="subscript"/>
        </w:rPr>
        <w:t>x</w:t>
      </w:r>
      <w:r w:rsidRPr="006D7A3A">
        <w:t xml:space="preserve"> emission reductions available to supplement the direct PM</w:t>
      </w:r>
      <w:r w:rsidRPr="006D7A3A">
        <w:rPr>
          <w:vertAlign w:val="subscript"/>
        </w:rPr>
        <w:t xml:space="preserve">2.5 </w:t>
      </w:r>
      <w:r w:rsidRPr="006D7A3A">
        <w:t>budget shall only be those remaining after the 2035 NO</w:t>
      </w:r>
      <w:r w:rsidRPr="006D7A3A">
        <w:rPr>
          <w:vertAlign w:val="subscript"/>
        </w:rPr>
        <w:t>x</w:t>
      </w:r>
      <w:r w:rsidRPr="006D7A3A">
        <w:t xml:space="preserve"> budget has been met, and the VOC emissions reductions available to supplement the direct PM</w:t>
      </w:r>
      <w:r w:rsidRPr="006D7A3A">
        <w:rPr>
          <w:vertAlign w:val="subscript"/>
        </w:rPr>
        <w:t>2.5</w:t>
      </w:r>
      <w:r w:rsidRPr="006D7A3A">
        <w:t xml:space="preserve"> budget shall only be those remaining after the 2035 VOC budget has been met.  Clear documentation of the calculations used in the trading should be included in the conformity analysis. The assumptions used to create the trading ratios </w:t>
      </w:r>
      <w:r w:rsidR="00686BDC">
        <w:t>can</w:t>
      </w:r>
      <w:r w:rsidRPr="006D7A3A">
        <w:t xml:space="preserve"> be found in the</w:t>
      </w:r>
      <w:r w:rsidR="00686BDC">
        <w:t xml:space="preserve"> TSDs.</w:t>
      </w:r>
    </w:p>
    <w:p w14:paraId="2188D6A1" w14:textId="53472CB2" w:rsidR="004C1422" w:rsidRDefault="004C1422" w:rsidP="002E63CC">
      <w:pPr>
        <w:pStyle w:val="Heading2"/>
        <w:numPr>
          <w:ilvl w:val="0"/>
          <w:numId w:val="0"/>
        </w:numPr>
      </w:pPr>
      <w:bookmarkStart w:id="124" w:name="_Toc17201213"/>
      <w:r w:rsidRPr="00C82B28">
        <w:t>(</w:t>
      </w:r>
      <w:r w:rsidR="00A95A1F">
        <w:t>5</w:t>
      </w:r>
      <w:r w:rsidRPr="00C82B28">
        <w:t>) Nonattainment Requirements Applicable Pending Plan Approval</w:t>
      </w:r>
      <w:bookmarkEnd w:id="124"/>
      <w:r w:rsidRPr="00C82B28">
        <w:t xml:space="preserve"> </w:t>
      </w:r>
    </w:p>
    <w:p w14:paraId="199E9018" w14:textId="77777777" w:rsidR="00881F26" w:rsidRPr="00226889" w:rsidRDefault="00881F26" w:rsidP="00881F26">
      <w:r w:rsidRPr="00881F26">
        <w:t xml:space="preserve">CAA 175A(c) - </w:t>
      </w:r>
      <w:r w:rsidRPr="00881F26">
        <w:rPr>
          <w:i/>
          <w:iCs/>
        </w:rPr>
        <w:t xml:space="preserve">Until such plan revision is approved and an area is </w:t>
      </w:r>
      <w:proofErr w:type="spellStart"/>
      <w:r w:rsidRPr="00881F26">
        <w:rPr>
          <w:i/>
          <w:iCs/>
        </w:rPr>
        <w:t>redesignated</w:t>
      </w:r>
      <w:proofErr w:type="spellEnd"/>
      <w:r w:rsidRPr="00881F26">
        <w:rPr>
          <w:i/>
          <w:iCs/>
        </w:rPr>
        <w:t xml:space="preserve"> as attainment, the requirements of CAA Part D, Plan Requirements for Nonattainment Areas, sh</w:t>
      </w:r>
      <w:r w:rsidR="00D67E13">
        <w:rPr>
          <w:i/>
          <w:iCs/>
        </w:rPr>
        <w:t>all remain in force and effect.</w:t>
      </w:r>
      <w:r w:rsidR="00D67E13">
        <w:rPr>
          <w:iCs/>
        </w:rPr>
        <w:t xml:space="preserve"> </w:t>
      </w:r>
      <w:r w:rsidRPr="00226889">
        <w:t>The Act requires the continued implementation of the nonattainment area control strategy unless such measures are shown to be unnecessary for maintenance or are replaced with measures that achieve equivalent reductions. Utah will continue to implement the emissions limitations and measures f</w:t>
      </w:r>
      <w:r w:rsidR="007235C8">
        <w:t xml:space="preserve">rom both </w:t>
      </w:r>
      <w:r w:rsidR="0050714E" w:rsidRPr="00B8614D">
        <w:t>PM</w:t>
      </w:r>
      <w:r w:rsidR="0050714E">
        <w:rPr>
          <w:vertAlign w:val="subscript"/>
        </w:rPr>
        <w:t>2.5</w:t>
      </w:r>
      <w:r w:rsidRPr="00226889">
        <w:t xml:space="preserve"> SIP</w:t>
      </w:r>
      <w:r w:rsidR="007235C8">
        <w:t>s</w:t>
      </w:r>
      <w:r w:rsidR="00226889">
        <w:t>.</w:t>
      </w:r>
    </w:p>
    <w:p w14:paraId="730AA5A2" w14:textId="77777777" w:rsidR="004C1422" w:rsidRDefault="00A95A1F" w:rsidP="002E63CC">
      <w:pPr>
        <w:pStyle w:val="Heading2"/>
        <w:numPr>
          <w:ilvl w:val="0"/>
          <w:numId w:val="0"/>
        </w:numPr>
      </w:pPr>
      <w:bookmarkStart w:id="125" w:name="_Toc17201214"/>
      <w:r>
        <w:t>(6</w:t>
      </w:r>
      <w:r w:rsidR="004C1422" w:rsidRPr="00C82B28">
        <w:t>) Revise in Eight Years</w:t>
      </w:r>
      <w:bookmarkEnd w:id="125"/>
      <w:r w:rsidR="004C1422" w:rsidRPr="00C82B28">
        <w:t xml:space="preserve"> </w:t>
      </w:r>
    </w:p>
    <w:p w14:paraId="7A812B8A" w14:textId="2F6E1739" w:rsidR="000E3392" w:rsidRPr="000E3392" w:rsidRDefault="000E3392" w:rsidP="00226889">
      <w:r w:rsidRPr="000E3392">
        <w:t xml:space="preserve">CAA 175A(b) - Eight years after </w:t>
      </w:r>
      <w:proofErr w:type="spellStart"/>
      <w:r w:rsidRPr="000E3392">
        <w:t>redesignation</w:t>
      </w:r>
      <w:proofErr w:type="spellEnd"/>
      <w:r w:rsidRPr="000E3392">
        <w:t xml:space="preserve">, the State must submit an additional plan revision which shows maintenance of the applicable NAAQS for an additional 10 years. Utah commits to submit a revised maintenance plan eight years after EPA takes final action </w:t>
      </w:r>
      <w:proofErr w:type="spellStart"/>
      <w:r w:rsidRPr="000E3392">
        <w:t>redesignating</w:t>
      </w:r>
      <w:proofErr w:type="spellEnd"/>
      <w:r w:rsidRPr="000E3392">
        <w:t xml:space="preserve"> the </w:t>
      </w:r>
      <w:r w:rsidR="00F03710">
        <w:t>Provo</w:t>
      </w:r>
      <w:r w:rsidRPr="000E3392">
        <w:t xml:space="preserve"> area to attainment, as required by the Act.</w:t>
      </w:r>
    </w:p>
    <w:p w14:paraId="4870385B" w14:textId="77777777" w:rsidR="004C1422" w:rsidRDefault="00A95A1F" w:rsidP="002E63CC">
      <w:pPr>
        <w:pStyle w:val="Heading2"/>
        <w:numPr>
          <w:ilvl w:val="0"/>
          <w:numId w:val="0"/>
        </w:numPr>
      </w:pPr>
      <w:bookmarkStart w:id="126" w:name="_Toc17201215"/>
      <w:r>
        <w:t>(7</w:t>
      </w:r>
      <w:r w:rsidR="004C1422" w:rsidRPr="00C82B28">
        <w:t xml:space="preserve">) Verification of Continued Maintenance </w:t>
      </w:r>
      <w:r w:rsidR="009C7FD2">
        <w:t>and Monitoring</w:t>
      </w:r>
      <w:bookmarkEnd w:id="126"/>
    </w:p>
    <w:p w14:paraId="142ED234" w14:textId="3648D24B" w:rsidR="009C7FD2" w:rsidRDefault="009C7FD2" w:rsidP="00226889">
      <w:r>
        <w:t xml:space="preserve">Implicit in the requirements outlined above is the need for the State to determine whether the area is in fact maintaining the standard it has achieved. There are two complementary ways to measure this: 1) by monitoring the ambient air for </w:t>
      </w:r>
      <w:r w:rsidR="0050714E" w:rsidRPr="00B8614D">
        <w:t>PM</w:t>
      </w:r>
      <w:r w:rsidR="0050714E">
        <w:rPr>
          <w:vertAlign w:val="subscript"/>
        </w:rPr>
        <w:t>2.5</w:t>
      </w:r>
      <w:r w:rsidR="00CC4AE6">
        <w:t>;</w:t>
      </w:r>
      <w:r>
        <w:t xml:space="preserve"> and 2) by inventorying emissions of </w:t>
      </w:r>
      <w:r w:rsidR="0050714E" w:rsidRPr="00B8614D">
        <w:t>PM</w:t>
      </w:r>
      <w:r w:rsidR="0050714E">
        <w:rPr>
          <w:vertAlign w:val="subscript"/>
        </w:rPr>
        <w:t>2.5</w:t>
      </w:r>
      <w:r>
        <w:t xml:space="preserve"> and its precursors from various sources. </w:t>
      </w:r>
    </w:p>
    <w:p w14:paraId="6342D1E1" w14:textId="77777777" w:rsidR="009C7FD2" w:rsidRDefault="009C7FD2" w:rsidP="00226889">
      <w:r>
        <w:t xml:space="preserve">The State will continue to maintain an ambient monitoring network for </w:t>
      </w:r>
      <w:r w:rsidR="0050714E" w:rsidRPr="00B8614D">
        <w:t>PM</w:t>
      </w:r>
      <w:r w:rsidR="0050714E">
        <w:rPr>
          <w:vertAlign w:val="subscript"/>
        </w:rPr>
        <w:t>2.5</w:t>
      </w:r>
      <w:r>
        <w:t xml:space="preserve"> in accordance with 40 CFR Part 58 and the Utah SIP. The State anticipates that the EPA will continue to review the ambient monitoring network for </w:t>
      </w:r>
      <w:r w:rsidR="0050714E" w:rsidRPr="00B8614D">
        <w:t>PM</w:t>
      </w:r>
      <w:r w:rsidR="0050714E">
        <w:rPr>
          <w:vertAlign w:val="subscript"/>
        </w:rPr>
        <w:t>2.5</w:t>
      </w:r>
      <w:r>
        <w:t xml:space="preserve"> each year, and any necessary modifications to the network will be implemented. </w:t>
      </w:r>
    </w:p>
    <w:p w14:paraId="157A9F66" w14:textId="13F05782" w:rsidR="009C7FD2" w:rsidRDefault="009C7FD2" w:rsidP="00226889">
      <w:pPr>
        <w:rPr>
          <w:color w:val="FF0000"/>
        </w:rPr>
      </w:pPr>
      <w:r>
        <w:t>Additionally, the State will track and document measured mobile source parameters (e.g., vehicle miles traveled, congestion, fleet mix, etc.) and new and modified stationary source permits. If these and the resulting emissions change significantly over time, the State will perform appropriate studies to determine: 1) whether additional and/or re-sited monitors are necessary</w:t>
      </w:r>
      <w:r w:rsidR="00CC4AE6">
        <w:t>;</w:t>
      </w:r>
      <w:r>
        <w:t xml:space="preserve"> and 2) whether mobile and stationary source emission projections are on target</w:t>
      </w:r>
      <w:r w:rsidRPr="00E44806">
        <w:t xml:space="preserve">. The State will also continue to collect actual emissions inventory data from </w:t>
      </w:r>
      <w:r w:rsidR="00D03A8F" w:rsidRPr="00E44806">
        <w:t>sources at thresholds defined in R307-150.</w:t>
      </w:r>
    </w:p>
    <w:p w14:paraId="1C41CCCC" w14:textId="77777777" w:rsidR="004C1422" w:rsidRDefault="00A95A1F" w:rsidP="002E63CC">
      <w:pPr>
        <w:pStyle w:val="Heading2"/>
        <w:numPr>
          <w:ilvl w:val="0"/>
          <w:numId w:val="0"/>
        </w:numPr>
      </w:pPr>
      <w:bookmarkStart w:id="127" w:name="_Toc17201216"/>
      <w:r>
        <w:t>(8</w:t>
      </w:r>
      <w:r w:rsidR="004C1422" w:rsidRPr="00C82B28">
        <w:t xml:space="preserve">) Contingency </w:t>
      </w:r>
      <w:r w:rsidR="009C7FD2">
        <w:t>Plan</w:t>
      </w:r>
      <w:bookmarkEnd w:id="127"/>
    </w:p>
    <w:p w14:paraId="235A5F31" w14:textId="77777777" w:rsidR="001D0144" w:rsidRPr="001D0144" w:rsidRDefault="00F77A05" w:rsidP="001D0144">
      <w:pPr>
        <w:rPr>
          <w:i/>
        </w:rPr>
      </w:pPr>
      <w:r w:rsidRPr="001D0144">
        <w:rPr>
          <w:i/>
        </w:rPr>
        <w:t xml:space="preserve">CAA 175A(d) - Each maintenance plan shall contain contingency measures to assure that the State will promptly correct any violation of the standard which occurs after the </w:t>
      </w:r>
      <w:proofErr w:type="spellStart"/>
      <w:r w:rsidRPr="001D0144">
        <w:rPr>
          <w:i/>
        </w:rPr>
        <w:t>redesignation</w:t>
      </w:r>
      <w:proofErr w:type="spellEnd"/>
      <w:r w:rsidRPr="001D0144">
        <w:rPr>
          <w:i/>
        </w:rPr>
        <w:t xml:space="preserve"> of the area to attainment</w:t>
      </w:r>
      <w:r w:rsidR="008155B0" w:rsidRPr="001D0144">
        <w:rPr>
          <w:i/>
        </w:rPr>
        <w:t xml:space="preserve">. </w:t>
      </w:r>
      <w:r w:rsidR="001D0144" w:rsidRPr="001D0144">
        <w:rPr>
          <w:i/>
        </w:rPr>
        <w:t xml:space="preserve">Such provisions shall include a requirement that the State will implement all control measures which were contained in the SIP prior to </w:t>
      </w:r>
      <w:proofErr w:type="spellStart"/>
      <w:r w:rsidR="001D0144" w:rsidRPr="001D0144">
        <w:rPr>
          <w:i/>
        </w:rPr>
        <w:t>redesignation</w:t>
      </w:r>
      <w:proofErr w:type="spellEnd"/>
      <w:r w:rsidR="001D0144" w:rsidRPr="001D0144">
        <w:rPr>
          <w:i/>
        </w:rPr>
        <w:t>.</w:t>
      </w:r>
    </w:p>
    <w:p w14:paraId="5D028D4D" w14:textId="35BE872F" w:rsidR="008155B0" w:rsidRPr="00A9298E" w:rsidRDefault="00B51D1F" w:rsidP="008155B0">
      <w:r>
        <w:t>U</w:t>
      </w:r>
      <w:r w:rsidR="00E64F01">
        <w:t xml:space="preserve">pon </w:t>
      </w:r>
      <w:proofErr w:type="spellStart"/>
      <w:r w:rsidR="00E64F01">
        <w:t>redesignation</w:t>
      </w:r>
      <w:proofErr w:type="spellEnd"/>
      <w:r w:rsidR="00E64F01">
        <w:t xml:space="preserve">, </w:t>
      </w:r>
      <w:r w:rsidR="00560B27">
        <w:t>t</w:t>
      </w:r>
      <w:r w:rsidR="00F77A05" w:rsidRPr="00A9298E">
        <w:t>h</w:t>
      </w:r>
      <w:r w:rsidR="00F77A05">
        <w:t xml:space="preserve">is contingency plan for </w:t>
      </w:r>
      <w:r w:rsidR="007D1EB6">
        <w:t xml:space="preserve">the </w:t>
      </w:r>
      <w:r w:rsidR="007B7F96" w:rsidRPr="007B7F96">
        <w:rPr>
          <w:color w:val="00B050"/>
        </w:rPr>
        <w:t>Provo</w:t>
      </w:r>
      <w:r w:rsidR="00510738" w:rsidRPr="007B7F96">
        <w:rPr>
          <w:color w:val="00B050"/>
        </w:rPr>
        <w:t xml:space="preserve"> NAA</w:t>
      </w:r>
      <w:r w:rsidR="00F77A05">
        <w:t xml:space="preserve"> supersedes </w:t>
      </w:r>
      <w:r w:rsidR="00F77A05" w:rsidRPr="007B7F96">
        <w:rPr>
          <w:color w:val="00B050"/>
        </w:rPr>
        <w:t>Subsection IX.A.</w:t>
      </w:r>
      <w:r w:rsidR="007B7F96" w:rsidRPr="007B7F96">
        <w:rPr>
          <w:color w:val="00B050"/>
        </w:rPr>
        <w:t>22</w:t>
      </w:r>
      <w:r w:rsidR="00F77A05" w:rsidRPr="007B7F96">
        <w:rPr>
          <w:color w:val="00B050"/>
        </w:rPr>
        <w:t>.9</w:t>
      </w:r>
      <w:r w:rsidR="00F77A05" w:rsidRPr="00A9298E">
        <w:t>, Contingency Measures</w:t>
      </w:r>
      <w:r w:rsidR="00C4060B">
        <w:t xml:space="preserve">, which is part of the </w:t>
      </w:r>
      <w:r w:rsidR="00BD351F">
        <w:rPr>
          <w:color w:val="00B050"/>
        </w:rPr>
        <w:t>m</w:t>
      </w:r>
      <w:r w:rsidR="007B7F96" w:rsidRPr="007B7F96">
        <w:rPr>
          <w:color w:val="00B050"/>
        </w:rPr>
        <w:t>oderate</w:t>
      </w:r>
      <w:r w:rsidR="00510738" w:rsidRPr="007B7F96">
        <w:rPr>
          <w:color w:val="00B050"/>
        </w:rPr>
        <w:t xml:space="preserve"> </w:t>
      </w:r>
      <w:r w:rsidR="007B7F96" w:rsidRPr="007B7F96">
        <w:rPr>
          <w:color w:val="00B050"/>
        </w:rPr>
        <w:t>Provo</w:t>
      </w:r>
      <w:r w:rsidR="00F77A05" w:rsidRPr="007B7F96">
        <w:rPr>
          <w:color w:val="00B050"/>
        </w:rPr>
        <w:t xml:space="preserve"> NAA</w:t>
      </w:r>
      <w:r w:rsidR="00F77A05" w:rsidRPr="00833FBD">
        <w:rPr>
          <w:color w:val="E36C0A" w:themeColor="accent6" w:themeShade="BF"/>
        </w:rPr>
        <w:t xml:space="preserve"> </w:t>
      </w:r>
      <w:r w:rsidR="00F77A05" w:rsidRPr="00510738">
        <w:t>PM</w:t>
      </w:r>
      <w:r w:rsidR="00F77A05" w:rsidRPr="00510738">
        <w:rPr>
          <w:vertAlign w:val="subscript"/>
        </w:rPr>
        <w:t>2.5</w:t>
      </w:r>
      <w:r w:rsidR="00F77A05" w:rsidRPr="00510738">
        <w:t xml:space="preserve"> </w:t>
      </w:r>
      <w:r w:rsidR="00C4060B" w:rsidRPr="00510738">
        <w:t xml:space="preserve">attainment </w:t>
      </w:r>
      <w:r w:rsidR="008155B0">
        <w:t>SIP.</w:t>
      </w:r>
      <w:r w:rsidR="008155B0" w:rsidRPr="00A9298E">
        <w:t xml:space="preserve"> </w:t>
      </w:r>
    </w:p>
    <w:p w14:paraId="45F3AD25" w14:textId="6B39B63C" w:rsidR="00F77A05" w:rsidRDefault="00F77A05" w:rsidP="00226889">
      <w:r w:rsidRPr="00A9298E">
        <w:t>The contingency plan must also ensure that the contingency measures are adopted expeditiously once triggered. The primary elements of the contingency plan are: 1) the list of potential contingency measures</w:t>
      </w:r>
      <w:r w:rsidR="00CC4AE6">
        <w:t>;</w:t>
      </w:r>
      <w:r w:rsidRPr="00A9298E">
        <w:t xml:space="preserve"> 2) the tracking and triggering mechanisms to determine when contingency measures are needed</w:t>
      </w:r>
      <w:r w:rsidR="00CC4AE6">
        <w:t>;</w:t>
      </w:r>
      <w:r w:rsidRPr="00A9298E">
        <w:t xml:space="preserve"> and 3) a description of the process for recommending and implementing the contingency measures. </w:t>
      </w:r>
    </w:p>
    <w:p w14:paraId="30464D0B" w14:textId="77777777" w:rsidR="003A6E06" w:rsidRDefault="003A6E06" w:rsidP="00D30DE4">
      <w:pPr>
        <w:pStyle w:val="Heading3"/>
        <w:numPr>
          <w:ilvl w:val="0"/>
          <w:numId w:val="0"/>
        </w:numPr>
        <w:ind w:left="720" w:hanging="360"/>
      </w:pPr>
      <w:bookmarkStart w:id="128" w:name="_Toc17201217"/>
      <w:r>
        <w:t>(a) List of Potential Contingency Measures</w:t>
      </w:r>
      <w:bookmarkEnd w:id="128"/>
    </w:p>
    <w:p w14:paraId="1406685B" w14:textId="751FE835" w:rsidR="003A6E06" w:rsidRDefault="003A6E06" w:rsidP="00226889">
      <w:r>
        <w:t xml:space="preserve">Section 175(d) of the CAA requires the maintenance plan to include as potential contingency measures all of the </w:t>
      </w:r>
      <w:r w:rsidR="005A495F">
        <w:t>PM</w:t>
      </w:r>
      <w:r w:rsidR="005A495F">
        <w:rPr>
          <w:sz w:val="14"/>
          <w:szCs w:val="14"/>
        </w:rPr>
        <w:t xml:space="preserve">2.5 </w:t>
      </w:r>
      <w:r>
        <w:t>control measures contained in the attainment SIP that were relaxed or modified prior</w:t>
      </w:r>
      <w:r w:rsidR="00F1700C">
        <w:t xml:space="preserve"> to </w:t>
      </w:r>
      <w:proofErr w:type="spellStart"/>
      <w:r w:rsidR="00F1700C">
        <w:t>redesignation</w:t>
      </w:r>
      <w:proofErr w:type="spellEnd"/>
      <w:r w:rsidR="00F1700C">
        <w:t xml:space="preserve">. </w:t>
      </w:r>
      <w:r w:rsidR="004B453A">
        <w:t xml:space="preserve">There were no control measures relaxed in the </w:t>
      </w:r>
      <w:r w:rsidR="007B7F96" w:rsidRPr="007B7F96">
        <w:rPr>
          <w:color w:val="00B050"/>
        </w:rPr>
        <w:t>Provo</w:t>
      </w:r>
      <w:r w:rsidR="004B453A" w:rsidRPr="007B7F96">
        <w:rPr>
          <w:color w:val="00B050"/>
        </w:rPr>
        <w:t xml:space="preserve"> NAA</w:t>
      </w:r>
      <w:r w:rsidR="00B378FA" w:rsidRPr="00D52DD0">
        <w:t>; however, below are potential contingency measure that will be evaluated.</w:t>
      </w:r>
      <w:r w:rsidR="00B378FA">
        <w:t xml:space="preserve"> </w:t>
      </w:r>
      <w:r w:rsidR="009E6D17">
        <w:t>If it is determined through the triggering mechanism that additional emissions reductions are necessary, UDAQ will adopt and implement appropriate contingency measure as expeditiously as possible.</w:t>
      </w:r>
    </w:p>
    <w:p w14:paraId="600A3EDE" w14:textId="22BD3973" w:rsidR="00AD3090" w:rsidRDefault="00F14A30" w:rsidP="00AD3090">
      <w:pPr>
        <w:pStyle w:val="ListParagraph"/>
        <w:numPr>
          <w:ilvl w:val="0"/>
          <w:numId w:val="4"/>
        </w:numPr>
      </w:pPr>
      <w:bookmarkStart w:id="129" w:name="_Hlk15291957"/>
      <w:r>
        <w:t xml:space="preserve">Measures to address emissions from residential wood combustion (i.e. emissions from fireplaces under the existing R307-302 rule), including re-evaluating the thresholds at which red or yellow burn days are triggered. </w:t>
      </w:r>
      <w:r w:rsidR="00AD3090">
        <w:t xml:space="preserve">Residential wood combustion represents a large emissions inventory </w:t>
      </w:r>
      <w:r w:rsidR="00AD3090" w:rsidRPr="002C42CD">
        <w:t xml:space="preserve">source category at </w:t>
      </w:r>
      <w:r w:rsidR="00E9290C" w:rsidRPr="00580423">
        <w:rPr>
          <w:color w:val="00B050"/>
        </w:rPr>
        <w:t>43.6</w:t>
      </w:r>
      <w:r w:rsidR="00AD3090" w:rsidRPr="00580423">
        <w:rPr>
          <w:color w:val="00B050"/>
        </w:rPr>
        <w:t>%</w:t>
      </w:r>
      <w:r w:rsidR="00AD3090" w:rsidRPr="002C42CD">
        <w:t xml:space="preserve"> of direct</w:t>
      </w:r>
      <w:r w:rsidR="00AD3090">
        <w:t xml:space="preserve"> </w:t>
      </w:r>
      <w:r w:rsidR="00AD3090" w:rsidRPr="00510738">
        <w:t>PM</w:t>
      </w:r>
      <w:r w:rsidR="00AD3090" w:rsidRPr="00510738">
        <w:rPr>
          <w:vertAlign w:val="subscript"/>
        </w:rPr>
        <w:t>2.5</w:t>
      </w:r>
      <w:r w:rsidR="00AD3090">
        <w:t xml:space="preserve"> emissions in </w:t>
      </w:r>
      <w:r w:rsidR="001564A9">
        <w:t xml:space="preserve">the </w:t>
      </w:r>
      <w:r w:rsidR="00AD3090">
        <w:t>2017</w:t>
      </w:r>
      <w:r w:rsidR="001564A9">
        <w:t xml:space="preserve"> county-wide inventory</w:t>
      </w:r>
      <w:r w:rsidR="00AD3090">
        <w:t>.</w:t>
      </w:r>
      <w:r w:rsidR="003A4E4B">
        <w:t xml:space="preserve"> </w:t>
      </w:r>
    </w:p>
    <w:p w14:paraId="041AAAEF" w14:textId="1F592534" w:rsidR="00AD3090" w:rsidRDefault="00AD3090" w:rsidP="00AD3090">
      <w:pPr>
        <w:pStyle w:val="ListParagraph"/>
        <w:numPr>
          <w:ilvl w:val="0"/>
          <w:numId w:val="4"/>
        </w:numPr>
      </w:pPr>
      <w:r>
        <w:t xml:space="preserve">Measures to address fugitive dust from area sources. Fugitive dust represents </w:t>
      </w:r>
      <w:r w:rsidR="00E9290C" w:rsidRPr="00580423">
        <w:rPr>
          <w:color w:val="00B050"/>
        </w:rPr>
        <w:t>28.1</w:t>
      </w:r>
      <w:r w:rsidRPr="00580423">
        <w:rPr>
          <w:color w:val="00B050"/>
        </w:rPr>
        <w:t>%</w:t>
      </w:r>
      <w:r w:rsidRPr="002C42CD">
        <w:t xml:space="preserve"> of direct PM</w:t>
      </w:r>
      <w:r w:rsidRPr="002C42CD">
        <w:rPr>
          <w:vertAlign w:val="subscript"/>
        </w:rPr>
        <w:t>2.5</w:t>
      </w:r>
      <w:r w:rsidRPr="002C42CD">
        <w:t xml:space="preserve"> emissions</w:t>
      </w:r>
      <w:r>
        <w:t xml:space="preserve"> in </w:t>
      </w:r>
      <w:r w:rsidR="001564A9">
        <w:t xml:space="preserve">the </w:t>
      </w:r>
      <w:r>
        <w:t>2017</w:t>
      </w:r>
      <w:r w:rsidR="001564A9">
        <w:t xml:space="preserve"> county-wide inventory</w:t>
      </w:r>
      <w:bookmarkStart w:id="130" w:name="_GoBack"/>
      <w:bookmarkEnd w:id="130"/>
      <w:r>
        <w:t>.</w:t>
      </w:r>
    </w:p>
    <w:p w14:paraId="0E1C55F7" w14:textId="435B5570" w:rsidR="00AD3090" w:rsidRDefault="00AD3090" w:rsidP="00AD3090">
      <w:pPr>
        <w:pStyle w:val="ListParagraph"/>
        <w:numPr>
          <w:ilvl w:val="0"/>
          <w:numId w:val="4"/>
        </w:numPr>
      </w:pPr>
      <w:r>
        <w:t xml:space="preserve">Additional measures to address other </w:t>
      </w:r>
      <w:r w:rsidRPr="00510738">
        <w:t>PM</w:t>
      </w:r>
      <w:r w:rsidRPr="00510738">
        <w:rPr>
          <w:vertAlign w:val="subscript"/>
        </w:rPr>
        <w:t>2.5</w:t>
      </w:r>
      <w:r>
        <w:t xml:space="preserve"> sources identified in the emissions inventory such as on-road vehicles, non-road vehicles and engines, and industrial sources. These source categories </w:t>
      </w:r>
      <w:r w:rsidRPr="0046629D">
        <w:t xml:space="preserve">represent </w:t>
      </w:r>
      <w:r w:rsidRPr="00580423">
        <w:rPr>
          <w:color w:val="00B050"/>
        </w:rPr>
        <w:t>43.2%, 8.3%, and 3.5%,</w:t>
      </w:r>
      <w:r>
        <w:t xml:space="preserve"> respectively, of the overall 2017 </w:t>
      </w:r>
      <w:proofErr w:type="spellStart"/>
      <w:r>
        <w:t>baseyear</w:t>
      </w:r>
      <w:proofErr w:type="spellEnd"/>
      <w:r>
        <w:t xml:space="preserve"> emissions inventory.</w:t>
      </w:r>
    </w:p>
    <w:p w14:paraId="50B5105E" w14:textId="78FE530E" w:rsidR="008E33AD" w:rsidRDefault="008E33AD" w:rsidP="008E33AD">
      <w:pPr>
        <w:ind w:left="360"/>
      </w:pPr>
      <w:r>
        <w:t>In addition, UDAQ administers incentive and grant programs that reduce emissions in Utah’s NAAs. The emissions reductions are not included in the quantitative maintenance demonstration; however, they are expected to contribute to the mitigation of PM</w:t>
      </w:r>
      <w:r w:rsidRPr="008E33AD">
        <w:rPr>
          <w:vertAlign w:val="subscript"/>
        </w:rPr>
        <w:t>2.5</w:t>
      </w:r>
      <w:r>
        <w:t xml:space="preserve"> concentrations. Generally speaking, the programs target Utah nonattainment areas. The programs include approximately $25.5 million from the Volkswagen settlement and approximately $12.7 million to replace heavy-duty diesel trucks and buses that are operating under old emissions standards. Nonroad diesel upgrades will see approximately $1.3 million on the Wasatch Front. Another $3.8 million of the Volkswagen funding will go towards installing electric vehicle </w:t>
      </w:r>
      <w:r w:rsidRPr="00307C07">
        <w:t>supply equipment in Utah. UDAQ is in the process of using approximately $</w:t>
      </w:r>
      <w:r>
        <w:t>9.6</w:t>
      </w:r>
      <w:r w:rsidRPr="00307C07">
        <w:t xml:space="preserve"> million in federal funding to implement </w:t>
      </w:r>
      <w:r>
        <w:t>wood stove changeout programs throughout the three Utah PM</w:t>
      </w:r>
      <w:r w:rsidRPr="008E33AD">
        <w:rPr>
          <w:vertAlign w:val="subscript"/>
        </w:rPr>
        <w:t>2.5</w:t>
      </w:r>
      <w:r>
        <w:t xml:space="preserve"> NAAs. </w:t>
      </w:r>
    </w:p>
    <w:bookmarkEnd w:id="129"/>
    <w:p w14:paraId="54DE17DD" w14:textId="701A8E9D" w:rsidR="004C1422" w:rsidRDefault="00AD3090" w:rsidP="00AD3090">
      <w:pPr>
        <w:pStyle w:val="Heading3"/>
        <w:numPr>
          <w:ilvl w:val="0"/>
          <w:numId w:val="0"/>
        </w:numPr>
        <w:ind w:left="360"/>
      </w:pPr>
      <w:r>
        <w:t xml:space="preserve"> </w:t>
      </w:r>
      <w:bookmarkStart w:id="131" w:name="_Toc17201218"/>
      <w:r w:rsidR="003A6E06">
        <w:t>(b</w:t>
      </w:r>
      <w:r w:rsidR="004C1422" w:rsidRPr="00C82B28">
        <w:t>) Tracking</w:t>
      </w:r>
      <w:bookmarkEnd w:id="131"/>
    </w:p>
    <w:p w14:paraId="67466AF3" w14:textId="77777777" w:rsidR="00273BF1" w:rsidRPr="00A9298E" w:rsidRDefault="00273BF1" w:rsidP="00226889">
      <w:r w:rsidRPr="00A9298E">
        <w:t xml:space="preserve">The tracking plan for the </w:t>
      </w:r>
      <w:r>
        <w:t>three NAAs</w:t>
      </w:r>
      <w:r w:rsidRPr="00A9298E">
        <w:t xml:space="preserve"> consists of monitoring and analyzing</w:t>
      </w:r>
      <w:r>
        <w:t xml:space="preserve"> ambient</w:t>
      </w:r>
      <w:r w:rsidRPr="00A9298E">
        <w:t xml:space="preserve"> </w:t>
      </w:r>
      <w:r>
        <w:t>PM</w:t>
      </w:r>
      <w:r>
        <w:rPr>
          <w:sz w:val="14"/>
          <w:szCs w:val="14"/>
        </w:rPr>
        <w:t xml:space="preserve">2.5 </w:t>
      </w:r>
      <w:r w:rsidRPr="00A9298E">
        <w:t xml:space="preserve">concentrations. In accordance with 40 CFR 58, the State will continue to operate and maintain an adequate </w:t>
      </w:r>
      <w:r>
        <w:t>PM</w:t>
      </w:r>
      <w:r>
        <w:rPr>
          <w:sz w:val="14"/>
          <w:szCs w:val="14"/>
        </w:rPr>
        <w:t xml:space="preserve">2.5 </w:t>
      </w:r>
      <w:r w:rsidRPr="00A9298E">
        <w:t xml:space="preserve">monitoring network in </w:t>
      </w:r>
      <w:r>
        <w:t>SLC, Provo, and Logan NAAs</w:t>
      </w:r>
      <w:r w:rsidRPr="00A9298E">
        <w:t xml:space="preserve">. </w:t>
      </w:r>
    </w:p>
    <w:p w14:paraId="1381DB2D" w14:textId="77777777" w:rsidR="004C1422" w:rsidRDefault="003A6E06" w:rsidP="00D30DE4">
      <w:pPr>
        <w:pStyle w:val="Heading3"/>
        <w:numPr>
          <w:ilvl w:val="0"/>
          <w:numId w:val="0"/>
        </w:numPr>
        <w:ind w:left="720" w:hanging="360"/>
      </w:pPr>
      <w:bookmarkStart w:id="132" w:name="_Toc17201219"/>
      <w:r>
        <w:t>(c</w:t>
      </w:r>
      <w:r w:rsidR="004C1422" w:rsidRPr="00C82B28">
        <w:t>) Triggering</w:t>
      </w:r>
      <w:bookmarkEnd w:id="132"/>
      <w:r w:rsidR="004C1422" w:rsidRPr="00C82B28">
        <w:t xml:space="preserve"> </w:t>
      </w:r>
    </w:p>
    <w:p w14:paraId="77C1FA3A" w14:textId="77777777" w:rsidR="00273BF1" w:rsidRPr="00A9298E" w:rsidRDefault="00273BF1" w:rsidP="00226889">
      <w:r w:rsidRPr="00A9298E">
        <w:t xml:space="preserve">Triggering of the contingency plan does not automatically require a revision to </w:t>
      </w:r>
      <w:r w:rsidR="00E66ADD">
        <w:t>the SIP, nor does it</w:t>
      </w:r>
      <w:r w:rsidRPr="00A9298E">
        <w:t xml:space="preserve"> mean </w:t>
      </w:r>
      <w:r w:rsidR="00E66ADD">
        <w:t xml:space="preserve">that </w:t>
      </w:r>
      <w:r w:rsidRPr="00A9298E">
        <w:t xml:space="preserve">the area will </w:t>
      </w:r>
      <w:r w:rsidR="00E66ADD">
        <w:t xml:space="preserve">automatically </w:t>
      </w:r>
      <w:r w:rsidRPr="00A9298E">
        <w:t xml:space="preserve">be </w:t>
      </w:r>
      <w:proofErr w:type="spellStart"/>
      <w:r w:rsidRPr="00A9298E">
        <w:t>redesignated</w:t>
      </w:r>
      <w:proofErr w:type="spellEnd"/>
      <w:r w:rsidRPr="00A9298E">
        <w:t xml:space="preserve"> once again to nonattainment. Instead, the State</w:t>
      </w:r>
      <w:r>
        <w:t xml:space="preserve"> will</w:t>
      </w:r>
      <w:r w:rsidRPr="00A9298E">
        <w:t xml:space="preserve"> have an appropriate timeframe to correct the potential violation with implementation of one or more adopted contingency measures. In the event that violations continue to occur, additional contingency measures will be adopted until the violations are corrected. </w:t>
      </w:r>
    </w:p>
    <w:p w14:paraId="67A97BB4" w14:textId="77777777" w:rsidR="00A95A1F" w:rsidRPr="00A9298E" w:rsidRDefault="00A95A1F" w:rsidP="00226889">
      <w:r w:rsidRPr="00A9298E">
        <w:t xml:space="preserve">Upon notification of a potential violation of the </w:t>
      </w:r>
      <w:r>
        <w:t>PM</w:t>
      </w:r>
      <w:r>
        <w:rPr>
          <w:sz w:val="14"/>
          <w:szCs w:val="14"/>
        </w:rPr>
        <w:t xml:space="preserve">2.5 </w:t>
      </w:r>
      <w:r w:rsidRPr="00A9298E">
        <w:t xml:space="preserve">NAAQS, the State will develop appropriate contingency measures intended to prevent or correct a violation of the </w:t>
      </w:r>
      <w:r>
        <w:t>PM</w:t>
      </w:r>
      <w:r>
        <w:rPr>
          <w:sz w:val="14"/>
          <w:szCs w:val="14"/>
        </w:rPr>
        <w:t xml:space="preserve">2.5 </w:t>
      </w:r>
      <w:r w:rsidRPr="00A9298E">
        <w:t xml:space="preserve">standard. Information about historical exceedances of the standard, the meteorological conditions related to the recent exceedances, and the most recent estimates of growth and emissions will be reviewed. The possibility that an exceptional event occurred will also be evaluated. </w:t>
      </w:r>
    </w:p>
    <w:p w14:paraId="6BFB9350" w14:textId="77777777" w:rsidR="00A95A1F" w:rsidRPr="00A9298E" w:rsidRDefault="00A95A1F" w:rsidP="00226889">
      <w:r w:rsidRPr="00A9298E">
        <w:t>Upon monitoring a potential violatio</w:t>
      </w:r>
      <w:r>
        <w:t>n of the PM</w:t>
      </w:r>
      <w:r>
        <w:rPr>
          <w:sz w:val="14"/>
          <w:szCs w:val="14"/>
        </w:rPr>
        <w:t xml:space="preserve">2.5 </w:t>
      </w:r>
      <w:r w:rsidRPr="00A9298E">
        <w:t xml:space="preserve">NAAQS, including exceedances flagged as exceptional events but not concurred with by EPA, the State will identify a means of corrective action within six months after a potential violation. The maintenance plan contingency measures will be chosen based on a consideration of cost-effectiveness, emission </w:t>
      </w:r>
      <w:r w:rsidRPr="00861C4D">
        <w:t>reduction</w:t>
      </w:r>
      <w:r w:rsidRPr="00A9298E">
        <w:t xml:space="preserve"> potential, economic and social considerations, or other factors th</w:t>
      </w:r>
      <w:r>
        <w:t>at the State deems appropriate.</w:t>
      </w:r>
    </w:p>
    <w:p w14:paraId="2D4F459F" w14:textId="77777777" w:rsidR="004C1422" w:rsidRPr="00193A2B" w:rsidRDefault="00A95A1F" w:rsidP="00193A2B">
      <w:r w:rsidRPr="00A9298E">
        <w:t xml:space="preserve">The State will require implementation of such corrective action no later than one year after the violation is confirmed. Any contingency measures adopted and implemented will become part of the next revised maintenance plan submitted to the EPA for approval. </w:t>
      </w:r>
    </w:p>
    <w:sectPr w:rsidR="004C1422" w:rsidRPr="00193A2B" w:rsidSect="00944A74">
      <w:pgSz w:w="12240" w:h="15840"/>
      <w:pgMar w:top="1440" w:right="1080" w:bottom="1440" w:left="1800" w:header="720" w:footer="720" w:gutter="0"/>
      <w:lnNumType w:countBy="1"/>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1A382E" w14:textId="77777777" w:rsidR="00082133" w:rsidRDefault="00082133" w:rsidP="00FF06BE">
      <w:pPr>
        <w:spacing w:after="0" w:line="240" w:lineRule="auto"/>
      </w:pPr>
      <w:r>
        <w:separator/>
      </w:r>
    </w:p>
  </w:endnote>
  <w:endnote w:type="continuationSeparator" w:id="0">
    <w:p w14:paraId="65BD61E4" w14:textId="77777777" w:rsidR="00082133" w:rsidRDefault="00082133" w:rsidP="00FF06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FBA8F2" w14:textId="2C3ADBA1" w:rsidR="00082133" w:rsidRPr="00907818" w:rsidRDefault="00082133">
    <w:pPr>
      <w:pStyle w:val="Footer"/>
      <w:jc w:val="center"/>
      <w:rPr>
        <w:rFonts w:ascii="Arial" w:hAnsi="Arial" w:cs="Arial"/>
      </w:rPr>
    </w:pPr>
    <w:r w:rsidRPr="00907818">
      <w:rPr>
        <w:rFonts w:ascii="Arial" w:hAnsi="Arial" w:cs="Arial"/>
      </w:rPr>
      <w:t>Section IX.A.</w:t>
    </w:r>
    <w:r>
      <w:rPr>
        <w:rFonts w:ascii="Arial" w:hAnsi="Arial" w:cs="Arial"/>
      </w:rPr>
      <w:t>27</w:t>
    </w:r>
  </w:p>
  <w:p w14:paraId="7F8D127E" w14:textId="77777777" w:rsidR="00082133" w:rsidRPr="00907818" w:rsidRDefault="00082133" w:rsidP="00B610AE">
    <w:pPr>
      <w:pBdr>
        <w:top w:val="single" w:sz="4" w:space="1" w:color="auto"/>
      </w:pBdr>
      <w:tabs>
        <w:tab w:val="center" w:pos="4680"/>
        <w:tab w:val="right" w:pos="9360"/>
      </w:tabs>
      <w:spacing w:after="0" w:line="240" w:lineRule="auto"/>
      <w:jc w:val="center"/>
      <w:rPr>
        <w:rFonts w:ascii="Arial" w:hAnsi="Arial" w:cs="Arial"/>
        <w:sz w:val="20"/>
        <w:szCs w:val="24"/>
      </w:rPr>
    </w:pPr>
    <w:r w:rsidRPr="00907818">
      <w:rPr>
        <w:rFonts w:ascii="Arial" w:hAnsi="Arial" w:cs="Arial"/>
        <w:sz w:val="20"/>
        <w:szCs w:val="24"/>
      </w:rPr>
      <w:fldChar w:fldCharType="begin"/>
    </w:r>
    <w:r w:rsidRPr="00907818">
      <w:rPr>
        <w:rFonts w:ascii="Arial" w:hAnsi="Arial" w:cs="Arial"/>
        <w:sz w:val="20"/>
        <w:szCs w:val="24"/>
      </w:rPr>
      <w:instrText xml:space="preserve"> PAGE   \* MERGEFORMAT </w:instrText>
    </w:r>
    <w:r w:rsidRPr="00907818">
      <w:rPr>
        <w:rFonts w:ascii="Arial" w:hAnsi="Arial" w:cs="Arial"/>
        <w:sz w:val="20"/>
        <w:szCs w:val="24"/>
      </w:rPr>
      <w:fldChar w:fldCharType="separate"/>
    </w:r>
    <w:r>
      <w:rPr>
        <w:rFonts w:ascii="Arial" w:hAnsi="Arial" w:cs="Arial"/>
        <w:noProof/>
        <w:sz w:val="20"/>
        <w:szCs w:val="24"/>
      </w:rPr>
      <w:t>21</w:t>
    </w:r>
    <w:r w:rsidRPr="00907818">
      <w:rPr>
        <w:rFonts w:ascii="Arial" w:hAnsi="Arial" w:cs="Arial"/>
        <w:noProof/>
        <w:sz w:val="20"/>
        <w:szCs w:val="24"/>
      </w:rPr>
      <w:fldChar w:fldCharType="end"/>
    </w:r>
  </w:p>
  <w:p w14:paraId="620B7005" w14:textId="77777777" w:rsidR="00082133" w:rsidRPr="00907818" w:rsidRDefault="00082133" w:rsidP="00B0210D">
    <w:pPr>
      <w:rPr>
        <w:rFonts w:ascii="Arial" w:hAnsi="Arial"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E71C20" w14:textId="77777777" w:rsidR="00082133" w:rsidRDefault="0008213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4B0EC7" w14:textId="77777777" w:rsidR="00082133" w:rsidRDefault="00082133" w:rsidP="00FF06BE">
      <w:pPr>
        <w:spacing w:after="0" w:line="240" w:lineRule="auto"/>
      </w:pPr>
      <w:r>
        <w:separator/>
      </w:r>
    </w:p>
  </w:footnote>
  <w:footnote w:type="continuationSeparator" w:id="0">
    <w:p w14:paraId="4B28A008" w14:textId="77777777" w:rsidR="00082133" w:rsidRDefault="00082133" w:rsidP="00FF06BE">
      <w:pPr>
        <w:spacing w:after="0" w:line="240" w:lineRule="auto"/>
      </w:pPr>
      <w:r>
        <w:continuationSeparator/>
      </w:r>
    </w:p>
  </w:footnote>
  <w:footnote w:id="1">
    <w:p w14:paraId="2F5C57A4" w14:textId="4DF0EC5C" w:rsidR="00082133" w:rsidRDefault="00082133">
      <w:pPr>
        <w:pStyle w:val="FootnoteText"/>
      </w:pPr>
      <w:r>
        <w:rPr>
          <w:rStyle w:val="FootnoteReference"/>
        </w:rPr>
        <w:footnoteRef/>
      </w:r>
      <w:r>
        <w:t xml:space="preserve"> Concurrent with the State’s submittal of SIP Section IX.A.27 to the EPA, Governor Gary Herbert will submit a letter to EPA requesting that EPA approve the maintenance plan and </w:t>
      </w:r>
      <w:proofErr w:type="spellStart"/>
      <w:r>
        <w:t>redesignate</w:t>
      </w:r>
      <w:proofErr w:type="spellEnd"/>
      <w:r>
        <w:t xml:space="preserve"> the Provo NAA to attainment. </w:t>
      </w:r>
    </w:p>
  </w:footnote>
  <w:footnote w:id="2">
    <w:p w14:paraId="049AE8CD" w14:textId="60B99727" w:rsidR="00082133" w:rsidRDefault="00082133">
      <w:pPr>
        <w:pStyle w:val="FootnoteText"/>
      </w:pPr>
      <w:r>
        <w:rPr>
          <w:rStyle w:val="FootnoteReference"/>
        </w:rPr>
        <w:footnoteRef/>
      </w:r>
      <w:r>
        <w:t xml:space="preserve"> UDAQ. December 3, 2014. Utah State Implementation Plan. Control Measures for Area and Point Sources, Fine Particulate Matter, PM</w:t>
      </w:r>
      <w:r>
        <w:rPr>
          <w:vertAlign w:val="subscript"/>
        </w:rPr>
        <w:t>2.5</w:t>
      </w:r>
      <w:r>
        <w:t xml:space="preserve"> SIP for the Provo, UT Nonattainment Area. Section IX. Part A.22. </w:t>
      </w:r>
      <w:r w:rsidRPr="000D2A0A">
        <w:t>https://deq.utah.gov/legacy/laws-and-rules/air-quality/sip/docs/2014/12Dec/SIP%20IX.A.22_PROVO_FINAL_Adopted%2012-3-14.pdf</w:t>
      </w:r>
      <w:r w:rsidRPr="00AE0683">
        <w:t>d%2012-3-14.pdf</w:t>
      </w:r>
    </w:p>
  </w:footnote>
  <w:footnote w:id="3">
    <w:p w14:paraId="45E1B91E" w14:textId="77777777" w:rsidR="00082133" w:rsidRDefault="00082133">
      <w:pPr>
        <w:pStyle w:val="FootnoteText"/>
      </w:pPr>
      <w:r>
        <w:rPr>
          <w:rStyle w:val="FootnoteReference"/>
        </w:rPr>
        <w:footnoteRef/>
      </w:r>
      <w:r>
        <w:t xml:space="preserve"> John </w:t>
      </w:r>
      <w:proofErr w:type="spellStart"/>
      <w:r>
        <w:t>Calcagni</w:t>
      </w:r>
      <w:proofErr w:type="spellEnd"/>
      <w:r>
        <w:t xml:space="preserve">. September 4, 1992. EPA Memorandum “Procedures for Processing Requests to </w:t>
      </w:r>
      <w:proofErr w:type="spellStart"/>
      <w:r>
        <w:t>Redesignate</w:t>
      </w:r>
      <w:proofErr w:type="spellEnd"/>
      <w:r>
        <w:t xml:space="preserve"> Areas to Attainment.”</w:t>
      </w:r>
    </w:p>
  </w:footnote>
  <w:footnote w:id="4">
    <w:p w14:paraId="2106357D" w14:textId="0FD5720B" w:rsidR="00082133" w:rsidRDefault="00082133">
      <w:pPr>
        <w:pStyle w:val="FootnoteText"/>
      </w:pPr>
      <w:r>
        <w:rPr>
          <w:rStyle w:val="FootnoteReference"/>
        </w:rPr>
        <w:footnoteRef/>
      </w:r>
      <w:r>
        <w:t xml:space="preserve"> Ibid</w:t>
      </w:r>
    </w:p>
  </w:footnote>
  <w:footnote w:id="5">
    <w:p w14:paraId="27570E70" w14:textId="27EFE87F" w:rsidR="00082133" w:rsidRDefault="00082133" w:rsidP="00912EB1">
      <w:pPr>
        <w:pStyle w:val="FootnoteText"/>
      </w:pPr>
      <w:r>
        <w:rPr>
          <w:rStyle w:val="FootnoteReference"/>
        </w:rPr>
        <w:footnoteRef/>
      </w:r>
      <w:r>
        <w:t xml:space="preserve"> Steve Page, Director, EPA Office of Air Quality Policy Planning and Standard. December 14, 2004. EPA Memorandum to Air Division Directors, “Clean Data Policy for the Fine Particle National Ambient Air Quality Standards.”</w:t>
      </w:r>
    </w:p>
  </w:footnote>
  <w:footnote w:id="6">
    <w:p w14:paraId="3CE8E61A" w14:textId="77777777" w:rsidR="00082133" w:rsidRDefault="00082133" w:rsidP="0030163C">
      <w:pPr>
        <w:pStyle w:val="FootnoteText"/>
      </w:pPr>
      <w:r>
        <w:rPr>
          <w:rStyle w:val="FootnoteReference"/>
        </w:rPr>
        <w:footnoteRef/>
      </w:r>
      <w:r>
        <w:t xml:space="preserve"> </w:t>
      </w:r>
      <w:proofErr w:type="spellStart"/>
      <w:r>
        <w:t>Calcagni</w:t>
      </w:r>
      <w:proofErr w:type="spellEnd"/>
      <w:r>
        <w:t xml:space="preserve"> (n 3)</w:t>
      </w:r>
    </w:p>
  </w:footnote>
  <w:footnote w:id="7">
    <w:p w14:paraId="2B1153EB" w14:textId="77777777" w:rsidR="00082133" w:rsidRDefault="00082133" w:rsidP="008844AC">
      <w:pPr>
        <w:pStyle w:val="FootnoteText"/>
      </w:pPr>
      <w:r>
        <w:rPr>
          <w:rStyle w:val="FootnoteReference"/>
        </w:rPr>
        <w:footnoteRef/>
      </w:r>
      <w:r>
        <w:t xml:space="preserve"> Environmental Protection Agency. August 24, 2016. Fine Particulate Matter National Ambient Air Quality Standards: State Implementation Plan Requirements; Final Rule. 82 FR 58128.</w:t>
      </w:r>
    </w:p>
  </w:footnote>
  <w:footnote w:id="8">
    <w:p w14:paraId="31BCDD4C" w14:textId="6BB36E94" w:rsidR="00082133" w:rsidRDefault="00082133">
      <w:pPr>
        <w:pStyle w:val="FootnoteText"/>
      </w:pPr>
      <w:r>
        <w:rPr>
          <w:rStyle w:val="FootnoteReference"/>
        </w:rPr>
        <w:footnoteRef/>
      </w:r>
      <w:r>
        <w:t xml:space="preserve"> </w:t>
      </w:r>
      <w:proofErr w:type="spellStart"/>
      <w:r>
        <w:t>Calcagni</w:t>
      </w:r>
      <w:proofErr w:type="spellEnd"/>
      <w:r>
        <w:t xml:space="preserve"> (n 3)</w:t>
      </w:r>
    </w:p>
  </w:footnote>
  <w:footnote w:id="9">
    <w:p w14:paraId="3582760A" w14:textId="77777777" w:rsidR="00082133" w:rsidRDefault="00082133">
      <w:pPr>
        <w:pStyle w:val="FootnoteText"/>
      </w:pPr>
      <w:r>
        <w:rPr>
          <w:rStyle w:val="FootnoteReference"/>
        </w:rPr>
        <w:footnoteRef/>
      </w:r>
      <w:r>
        <w:t xml:space="preserve"> Ibid</w:t>
      </w:r>
    </w:p>
  </w:footnote>
  <w:footnote w:id="10">
    <w:p w14:paraId="57F9D286" w14:textId="524E6937" w:rsidR="00082133" w:rsidRDefault="00082133" w:rsidP="00D22F03">
      <w:pPr>
        <w:pStyle w:val="FootnoteText"/>
      </w:pPr>
      <w:r>
        <w:rPr>
          <w:rStyle w:val="FootnoteReference"/>
        </w:rPr>
        <w:footnoteRef/>
      </w:r>
      <w:r>
        <w:t xml:space="preserve"> </w:t>
      </w:r>
      <w:proofErr w:type="spellStart"/>
      <w:r>
        <w:t>Calcagni</w:t>
      </w:r>
      <w:proofErr w:type="spellEnd"/>
      <w:r>
        <w:t xml:space="preserve"> (n 3)</w:t>
      </w:r>
    </w:p>
  </w:footnote>
  <w:footnote w:id="11">
    <w:p w14:paraId="67190B8B" w14:textId="2D1BE685" w:rsidR="00082133" w:rsidRDefault="00082133" w:rsidP="00D22F03">
      <w:pPr>
        <w:pStyle w:val="FootnoteText"/>
      </w:pPr>
      <w:r>
        <w:rPr>
          <w:rStyle w:val="FootnoteReference"/>
        </w:rPr>
        <w:footnoteRef/>
      </w:r>
      <w:r>
        <w:t xml:space="preserve"> Ibid</w:t>
      </w:r>
    </w:p>
  </w:footnote>
  <w:footnote w:id="12">
    <w:p w14:paraId="7712EAE5" w14:textId="531F3F90" w:rsidR="00082133" w:rsidRDefault="00082133" w:rsidP="00BA06F1">
      <w:pPr>
        <w:spacing w:after="0" w:line="240" w:lineRule="auto"/>
        <w:rPr>
          <w:sz w:val="20"/>
          <w:szCs w:val="20"/>
        </w:rPr>
      </w:pPr>
      <w:r>
        <w:rPr>
          <w:vertAlign w:val="superscript"/>
        </w:rPr>
        <w:footnoteRef/>
      </w:r>
      <w:r>
        <w:rPr>
          <w:sz w:val="20"/>
          <w:szCs w:val="20"/>
        </w:rPr>
        <w:t xml:space="preserve"> </w:t>
      </w:r>
      <w:hyperlink r:id="rId1" w:history="1">
        <w:r w:rsidRPr="00F44C25">
          <w:rPr>
            <w:rStyle w:val="Hyperlink"/>
            <w:sz w:val="20"/>
            <w:szCs w:val="20"/>
          </w:rPr>
          <w:t>https://www.cmascenter.org/smoke/</w:t>
        </w:r>
      </w:hyperlink>
    </w:p>
  </w:footnote>
  <w:footnote w:id="13">
    <w:p w14:paraId="2BCA490E" w14:textId="6924F6DE" w:rsidR="00082133" w:rsidRDefault="00082133" w:rsidP="00BA06F1">
      <w:pPr>
        <w:spacing w:after="0" w:line="240" w:lineRule="auto"/>
        <w:rPr>
          <w:sz w:val="20"/>
          <w:szCs w:val="20"/>
        </w:rPr>
      </w:pPr>
      <w:r>
        <w:rPr>
          <w:vertAlign w:val="superscript"/>
        </w:rPr>
        <w:footnoteRef/>
      </w:r>
      <w:r>
        <w:rPr>
          <w:sz w:val="20"/>
          <w:szCs w:val="20"/>
        </w:rPr>
        <w:t xml:space="preserve"> </w:t>
      </w:r>
      <w:hyperlink r:id="rId2" w:history="1">
        <w:r w:rsidRPr="00F44C25">
          <w:rPr>
            <w:rStyle w:val="Hyperlink"/>
            <w:sz w:val="20"/>
            <w:szCs w:val="20"/>
          </w:rPr>
          <w:t>https://www.epa.gov/air-emissions-modeling/2011-version-6-air-emissions-modeling-platforms</w:t>
        </w:r>
      </w:hyperlink>
    </w:p>
  </w:footnote>
  <w:footnote w:id="14">
    <w:p w14:paraId="0A616D4A" w14:textId="653CBAFB" w:rsidR="00082133" w:rsidRDefault="00082133" w:rsidP="00BA06F1">
      <w:pPr>
        <w:spacing w:after="0" w:line="240" w:lineRule="auto"/>
        <w:rPr>
          <w:sz w:val="20"/>
          <w:szCs w:val="20"/>
        </w:rPr>
      </w:pPr>
      <w:r>
        <w:rPr>
          <w:vertAlign w:val="superscript"/>
        </w:rPr>
        <w:footnoteRef/>
      </w:r>
      <w:r>
        <w:rPr>
          <w:sz w:val="20"/>
          <w:szCs w:val="20"/>
        </w:rPr>
        <w:t xml:space="preserve"> </w:t>
      </w:r>
      <w:hyperlink r:id="rId3" w:history="1">
        <w:r w:rsidRPr="00F44C25">
          <w:rPr>
            <w:rStyle w:val="Hyperlink"/>
            <w:sz w:val="20"/>
            <w:szCs w:val="20"/>
          </w:rPr>
          <w:t>https://www.epa.gov/chief</w:t>
        </w:r>
      </w:hyperlink>
    </w:p>
  </w:footnote>
  <w:footnote w:id="15">
    <w:p w14:paraId="56AA6322" w14:textId="1DF29C06" w:rsidR="00082133" w:rsidRDefault="00082133" w:rsidP="009C547D">
      <w:pPr>
        <w:rPr>
          <w:sz w:val="20"/>
          <w:szCs w:val="20"/>
        </w:rPr>
      </w:pPr>
      <w:r>
        <w:rPr>
          <w:vertAlign w:val="superscript"/>
        </w:rPr>
        <w:footnoteRef/>
      </w:r>
      <w:r>
        <w:rPr>
          <w:sz w:val="20"/>
          <w:szCs w:val="20"/>
        </w:rPr>
        <w:t xml:space="preserve"> </w:t>
      </w:r>
      <w:hyperlink r:id="rId4" w:history="1">
        <w:r w:rsidRPr="00F44C25">
          <w:rPr>
            <w:rStyle w:val="Hyperlink"/>
            <w:sz w:val="20"/>
            <w:szCs w:val="20"/>
          </w:rPr>
          <w:t>https://www.mmm.ucar.edu/weather-research-and-forecasting-model</w:t>
        </w:r>
      </w:hyperlink>
    </w:p>
  </w:footnote>
  <w:footnote w:id="16">
    <w:p w14:paraId="05AAA4E6" w14:textId="030B4C06" w:rsidR="00082133" w:rsidRDefault="00082133">
      <w:pPr>
        <w:pStyle w:val="FootnoteText"/>
      </w:pPr>
      <w:r>
        <w:rPr>
          <w:rStyle w:val="FootnoteReference"/>
        </w:rPr>
        <w:footnoteRef/>
      </w:r>
      <w:r>
        <w:t xml:space="preserve"> Environmental Protection Agency. </w:t>
      </w:r>
      <w:r w:rsidRPr="009C547D">
        <w:t>April 2007</w:t>
      </w:r>
      <w:r>
        <w:t xml:space="preserve">. </w:t>
      </w:r>
      <w:r w:rsidRPr="009C547D">
        <w:t>Guidance on the Use of Models and Other Analyses for Demonstrating Attainment of Air Quality Goals for Ozone, PM</w:t>
      </w:r>
      <w:r w:rsidRPr="009C547D">
        <w:rPr>
          <w:vertAlign w:val="subscript"/>
        </w:rPr>
        <w:t>2.5</w:t>
      </w:r>
      <w:r w:rsidRPr="009C547D">
        <w:t>, and Regional Haze</w:t>
      </w:r>
      <w:r>
        <w:t>.</w:t>
      </w:r>
    </w:p>
  </w:footnote>
  <w:footnote w:id="17">
    <w:p w14:paraId="5DE09CBB" w14:textId="293A6F82" w:rsidR="00082133" w:rsidRDefault="00082133">
      <w:pPr>
        <w:pStyle w:val="FootnoteText"/>
      </w:pPr>
      <w:r>
        <w:rPr>
          <w:rStyle w:val="FootnoteReference"/>
        </w:rPr>
        <w:footnoteRef/>
      </w:r>
      <w:r>
        <w:t xml:space="preserve"> </w:t>
      </w:r>
      <w:hyperlink r:id="rId5" w:history="1">
        <w:r w:rsidRPr="007C215D">
          <w:rPr>
            <w:rStyle w:val="Hyperlink"/>
          </w:rPr>
          <w:t>https://www.mmm.ucar.edu/weather-research-and-forecasting-model</w:t>
        </w:r>
      </w:hyperlink>
    </w:p>
  </w:footnote>
  <w:footnote w:id="18">
    <w:p w14:paraId="50619A53" w14:textId="16BEF912" w:rsidR="00082133" w:rsidRPr="009C547D" w:rsidRDefault="00082133" w:rsidP="00BC692A">
      <w:pPr>
        <w:rPr>
          <w:lang w:val="en"/>
        </w:rPr>
      </w:pPr>
      <w:r>
        <w:rPr>
          <w:rStyle w:val="FootnoteReference"/>
        </w:rPr>
        <w:footnoteRef/>
      </w:r>
      <w:r>
        <w:t xml:space="preserve"> </w:t>
      </w:r>
      <w:hyperlink r:id="rId6" w:history="1">
        <w:r w:rsidRPr="007C215D">
          <w:rPr>
            <w:rStyle w:val="Hyperlink"/>
            <w:sz w:val="20"/>
            <w:szCs w:val="20"/>
          </w:rPr>
          <w:t>https://documents.deq.utah.gov/air-quality/planning/technical-analysis/research/model-improvements/3-wintertime-episodes/DAQ-2017-014342.pdf</w:t>
        </w:r>
      </w:hyperlink>
      <w:r>
        <w:rPr>
          <w:lang w:val="en"/>
        </w:rPr>
        <w:t xml:space="preserve"> </w:t>
      </w:r>
    </w:p>
    <w:p w14:paraId="47733F45" w14:textId="14F4CEDC" w:rsidR="00082133" w:rsidRDefault="00082133">
      <w:pPr>
        <w:pStyle w:val="FootnoteText"/>
      </w:pPr>
    </w:p>
  </w:footnote>
  <w:footnote w:id="19">
    <w:p w14:paraId="29BFA171" w14:textId="23DFFBEB" w:rsidR="00082133" w:rsidRDefault="00082133" w:rsidP="00352C95">
      <w:pPr>
        <w:pStyle w:val="FootnoteText"/>
      </w:pPr>
      <w:r>
        <w:rPr>
          <w:rStyle w:val="FootnoteReference"/>
        </w:rPr>
        <w:footnoteRef/>
      </w:r>
      <w:r>
        <w:t xml:space="preserve"> </w:t>
      </w:r>
      <w:hyperlink r:id="rId7" w:history="1">
        <w:r w:rsidRPr="00953E89">
          <w:rPr>
            <w:rStyle w:val="Hyperlink"/>
          </w:rPr>
          <w:t>https://documents.deq.utah.gov/air-quality/planning/technical-analysis/research/model-improvements/3-wintertime-episodes/DAQ-2017-014342.pdf</w:t>
        </w:r>
      </w:hyperlink>
    </w:p>
  </w:footnote>
  <w:footnote w:id="20">
    <w:p w14:paraId="145BFB8B" w14:textId="3EC1BCB4" w:rsidR="00082133" w:rsidRPr="005E32F7" w:rsidRDefault="00082133" w:rsidP="003D4FD9">
      <w:pPr>
        <w:pStyle w:val="FootnoteText"/>
        <w:rPr>
          <w:rFonts w:ascii="Calibri" w:hAnsi="Calibri"/>
          <w:color w:val="4F81BD" w:themeColor="accent1"/>
          <w:sz w:val="22"/>
          <w:szCs w:val="22"/>
        </w:rPr>
      </w:pPr>
      <w:r w:rsidRPr="005E32F7">
        <w:rPr>
          <w:rStyle w:val="FootnoteReference"/>
          <w:rFonts w:ascii="Calibri" w:hAnsi="Calibri"/>
          <w:color w:val="4F81BD" w:themeColor="accent1"/>
          <w:sz w:val="22"/>
          <w:szCs w:val="22"/>
        </w:rPr>
        <w:footnoteRef/>
      </w:r>
      <w:r w:rsidRPr="005E32F7">
        <w:rPr>
          <w:rFonts w:ascii="Calibri" w:hAnsi="Calibri"/>
          <w:color w:val="4F81BD" w:themeColor="accent1"/>
          <w:sz w:val="22"/>
          <w:szCs w:val="22"/>
        </w:rPr>
        <w:t xml:space="preserve"> </w:t>
      </w:r>
      <w:hyperlink r:id="rId8" w:history="1">
        <w:r w:rsidRPr="003024B1">
          <w:rPr>
            <w:rStyle w:val="Hyperlink"/>
          </w:rPr>
          <w:t>https://documents.deq.utah.gov/air-quality/planning/technical-analysis/research/model-improvements/3-wintertime-episodes/DAQ-2017-014342.pdf</w:t>
        </w:r>
      </w:hyperlink>
    </w:p>
  </w:footnote>
  <w:footnote w:id="21">
    <w:p w14:paraId="27CDB639" w14:textId="152A1D03" w:rsidR="00082133" w:rsidRPr="005E32F7" w:rsidRDefault="00082133" w:rsidP="003D4FD9">
      <w:pPr>
        <w:pStyle w:val="FootnoteText"/>
        <w:rPr>
          <w:rFonts w:ascii="Calibri" w:hAnsi="Calibri"/>
          <w:sz w:val="22"/>
          <w:szCs w:val="22"/>
        </w:rPr>
      </w:pPr>
      <w:r w:rsidRPr="00086657">
        <w:rPr>
          <w:rStyle w:val="FootnoteReference"/>
          <w:rFonts w:ascii="Calibri" w:hAnsi="Calibri"/>
          <w:sz w:val="22"/>
          <w:szCs w:val="22"/>
        </w:rPr>
        <w:footnoteRef/>
      </w:r>
      <w:r w:rsidRPr="00086657">
        <w:rPr>
          <w:rFonts w:ascii="Calibri" w:hAnsi="Calibri"/>
          <w:sz w:val="22"/>
          <w:szCs w:val="22"/>
        </w:rPr>
        <w:t xml:space="preserve"> </w:t>
      </w:r>
      <w:hyperlink r:id="rId9" w:history="1">
        <w:r w:rsidRPr="00086657">
          <w:rPr>
            <w:rStyle w:val="Hyperlink"/>
          </w:rPr>
          <w:t>https://documents.deq.utah.gov/air-quality/planning/technical-analysis/research/model-improvements/3-wintertime-episodes/DAQ-2017-014342.pdf</w:t>
        </w:r>
      </w:hyperlink>
    </w:p>
  </w:footnote>
  <w:footnote w:id="22">
    <w:p w14:paraId="667C11EB" w14:textId="77777777" w:rsidR="00082133" w:rsidRDefault="00082133" w:rsidP="00EC1924">
      <w:pPr>
        <w:rPr>
          <w:sz w:val="20"/>
          <w:szCs w:val="20"/>
        </w:rPr>
      </w:pPr>
      <w:r>
        <w:rPr>
          <w:vertAlign w:val="superscript"/>
        </w:rPr>
        <w:footnoteRef/>
      </w:r>
      <w:r>
        <w:rPr>
          <w:sz w:val="20"/>
          <w:szCs w:val="20"/>
        </w:rPr>
        <w:t xml:space="preserve"> http://www.pcaps.utah.edu/</w:t>
      </w:r>
    </w:p>
  </w:footnote>
  <w:footnote w:id="23">
    <w:p w14:paraId="7CD673F6" w14:textId="77777777" w:rsidR="00082133" w:rsidRPr="00602187" w:rsidRDefault="00082133" w:rsidP="00602187">
      <w:pPr>
        <w:pStyle w:val="FootnoteText"/>
      </w:pPr>
      <w:r w:rsidRPr="00724E43">
        <w:rPr>
          <w:rStyle w:val="FootnoteReference"/>
          <w:rFonts w:ascii="Arial" w:hAnsi="Arial" w:cs="Arial"/>
        </w:rPr>
        <w:footnoteRef/>
      </w:r>
      <w:r w:rsidRPr="00724E43">
        <w:t xml:space="preserve"> </w:t>
      </w:r>
      <w:r w:rsidRPr="00602187">
        <w:t xml:space="preserve">Treatment of Data Influenced by Exceptional Events; Final Rule, 81 Fed. Reg. 68216 (Oct. 3, 2016). </w:t>
      </w:r>
    </w:p>
  </w:footnote>
  <w:footnote w:id="24">
    <w:p w14:paraId="4A2BB0C8" w14:textId="77777777" w:rsidR="00082133" w:rsidRPr="00602187" w:rsidRDefault="00082133" w:rsidP="00602187">
      <w:pPr>
        <w:pStyle w:val="FootnoteText"/>
      </w:pPr>
      <w:r w:rsidRPr="00602187">
        <w:rPr>
          <w:rStyle w:val="FootnoteReference"/>
        </w:rPr>
        <w:footnoteRef/>
      </w:r>
      <w:r w:rsidRPr="00602187">
        <w:t xml:space="preserve"> EPA Memorandum. Additional Methods, Determinations, and Analyses to Modify Air Quality Data Beyond Exceptional Events. April 4, 2019.</w:t>
      </w:r>
    </w:p>
  </w:footnote>
  <w:footnote w:id="25">
    <w:p w14:paraId="418E0B0B" w14:textId="0F70F455" w:rsidR="00082133" w:rsidRDefault="00082133" w:rsidP="00514E89">
      <w:pPr>
        <w:spacing w:after="0"/>
        <w:rPr>
          <w:sz w:val="20"/>
          <w:szCs w:val="20"/>
        </w:rPr>
      </w:pPr>
      <w:r>
        <w:rPr>
          <w:vertAlign w:val="superscript"/>
        </w:rPr>
        <w:footnoteRef/>
      </w:r>
      <w:r>
        <w:rPr>
          <w:sz w:val="20"/>
          <w:szCs w:val="20"/>
        </w:rPr>
        <w:t xml:space="preserve"> </w:t>
      </w:r>
      <w:hyperlink r:id="rId10" w:history="1">
        <w:r w:rsidRPr="00514E89">
          <w:rPr>
            <w:rStyle w:val="Hyperlink"/>
            <w:sz w:val="20"/>
            <w:szCs w:val="20"/>
          </w:rPr>
          <w:t>https://www.epa.gov/scram/photochemical-modeling-tools</w:t>
        </w:r>
      </w:hyperlink>
    </w:p>
  </w:footnote>
  <w:footnote w:id="26">
    <w:p w14:paraId="68F737C5" w14:textId="1AC9BBA5" w:rsidR="00082133" w:rsidRDefault="00082133" w:rsidP="00514E89">
      <w:pPr>
        <w:pStyle w:val="FootnoteText"/>
      </w:pPr>
      <w:r>
        <w:rPr>
          <w:rStyle w:val="FootnoteReference"/>
        </w:rPr>
        <w:footnoteRef/>
      </w:r>
      <w:r>
        <w:t xml:space="preserve"> </w:t>
      </w:r>
      <w:proofErr w:type="spellStart"/>
      <w:r>
        <w:t>Calcagni</w:t>
      </w:r>
      <w:proofErr w:type="spellEnd"/>
      <w:r>
        <w:t xml:space="preserve"> (n 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67F65" w14:textId="5DC80E98" w:rsidR="00082133" w:rsidRPr="00196516" w:rsidRDefault="00082133" w:rsidP="00196516">
    <w:pPr>
      <w:pBdr>
        <w:bottom w:val="single" w:sz="4" w:space="1" w:color="auto"/>
      </w:pBdr>
      <w:tabs>
        <w:tab w:val="center" w:pos="4680"/>
        <w:tab w:val="right" w:pos="9360"/>
      </w:tabs>
      <w:spacing w:after="0" w:line="240" w:lineRule="auto"/>
      <w:jc w:val="right"/>
      <w:rPr>
        <w:rFonts w:ascii="Arial" w:hAnsi="Arial" w:cs="Arial"/>
        <w:sz w:val="20"/>
        <w:szCs w:val="18"/>
      </w:rPr>
    </w:pPr>
    <w:r>
      <w:rPr>
        <w:rFonts w:ascii="Arial" w:hAnsi="Arial" w:cs="Arial"/>
        <w:sz w:val="20"/>
        <w:szCs w:val="18"/>
      </w:rPr>
      <w:t>Provo,</w:t>
    </w:r>
    <w:r w:rsidRPr="00196516">
      <w:rPr>
        <w:rFonts w:ascii="Arial" w:hAnsi="Arial" w:cs="Arial"/>
        <w:sz w:val="20"/>
        <w:szCs w:val="18"/>
      </w:rPr>
      <w:t xml:space="preserve"> UT</w:t>
    </w:r>
    <w:r>
      <w:rPr>
        <w:rFonts w:ascii="Arial" w:hAnsi="Arial" w:cs="Arial"/>
        <w:sz w:val="20"/>
        <w:szCs w:val="18"/>
      </w:rPr>
      <w:t xml:space="preserve"> Maintenance 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CE3"/>
    <w:multiLevelType w:val="hybridMultilevel"/>
    <w:tmpl w:val="F08007B0"/>
    <w:lvl w:ilvl="0" w:tplc="5DD2CC72">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D71DDC"/>
    <w:multiLevelType w:val="hybridMultilevel"/>
    <w:tmpl w:val="8A34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02645E"/>
    <w:multiLevelType w:val="multilevel"/>
    <w:tmpl w:val="56961B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E702AF"/>
    <w:multiLevelType w:val="hybridMultilevel"/>
    <w:tmpl w:val="EAA8C25C"/>
    <w:lvl w:ilvl="0" w:tplc="D794EDBA">
      <w:start w:val="1"/>
      <w:numFmt w:val="lowerRoman"/>
      <w:pStyle w:val="Heading4"/>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E704B8"/>
    <w:multiLevelType w:val="multilevel"/>
    <w:tmpl w:val="4FB68C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CFF0937"/>
    <w:multiLevelType w:val="multilevel"/>
    <w:tmpl w:val="FB629FE2"/>
    <w:lvl w:ilvl="0">
      <w:start w:val="1"/>
      <w:numFmt w:val="decimal"/>
      <w:pStyle w:val="Heading1"/>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6" w15:restartNumberingAfterBreak="0">
    <w:nsid w:val="265071B8"/>
    <w:multiLevelType w:val="hybridMultilevel"/>
    <w:tmpl w:val="C3E479B4"/>
    <w:lvl w:ilvl="0" w:tplc="7DC8E09A">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3B321F80"/>
    <w:multiLevelType w:val="hybridMultilevel"/>
    <w:tmpl w:val="C06EB41A"/>
    <w:lvl w:ilvl="0" w:tplc="15A6EAE8">
      <w:start w:val="1"/>
      <w:numFmt w:val="lowerLetter"/>
      <w:pStyle w:val="Heading5"/>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E744FB"/>
    <w:multiLevelType w:val="hybridMultilevel"/>
    <w:tmpl w:val="0A329AE0"/>
    <w:lvl w:ilvl="0" w:tplc="C5C47366">
      <w:start w:val="1"/>
      <w:numFmt w:val="decimal"/>
      <w:pStyle w:val="Heading2"/>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0833006"/>
    <w:multiLevelType w:val="multilevel"/>
    <w:tmpl w:val="12C6BB5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5F2101F"/>
    <w:multiLevelType w:val="hybridMultilevel"/>
    <w:tmpl w:val="65829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8E71A98"/>
    <w:multiLevelType w:val="hybridMultilevel"/>
    <w:tmpl w:val="8998313E"/>
    <w:lvl w:ilvl="0" w:tplc="89C2438E">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CAC18A6"/>
    <w:multiLevelType w:val="hybridMultilevel"/>
    <w:tmpl w:val="0CAC7DB6"/>
    <w:lvl w:ilvl="0" w:tplc="0CC2C4B0">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AA3605C"/>
    <w:multiLevelType w:val="hybridMultilevel"/>
    <w:tmpl w:val="93EADCF4"/>
    <w:lvl w:ilvl="0" w:tplc="1D6E6C8A">
      <w:start w:val="1"/>
      <w:numFmt w:val="lowerRoman"/>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6F6E285F"/>
    <w:multiLevelType w:val="hybridMultilevel"/>
    <w:tmpl w:val="BF06D118"/>
    <w:lvl w:ilvl="0" w:tplc="11B6CA68">
      <w:start w:val="1"/>
      <w:numFmt w:val="lowerRoman"/>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7226619A"/>
    <w:multiLevelType w:val="hybridMultilevel"/>
    <w:tmpl w:val="5DC48780"/>
    <w:lvl w:ilvl="0" w:tplc="32D0C8B8">
      <w:start w:val="1"/>
      <w:numFmt w:val="low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A57DA"/>
    <w:multiLevelType w:val="hybridMultilevel"/>
    <w:tmpl w:val="1B8643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3"/>
    <w:lvlOverride w:ilvl="0">
      <w:startOverride w:val="1"/>
    </w:lvlOverride>
  </w:num>
  <w:num w:numId="3">
    <w:abstractNumId w:val="13"/>
    <w:lvlOverride w:ilvl="0">
      <w:startOverride w:val="1"/>
    </w:lvlOverride>
  </w:num>
  <w:num w:numId="4">
    <w:abstractNumId w:val="16"/>
  </w:num>
  <w:num w:numId="5">
    <w:abstractNumId w:val="2"/>
  </w:num>
  <w:num w:numId="6">
    <w:abstractNumId w:val="4"/>
  </w:num>
  <w:num w:numId="7">
    <w:abstractNumId w:val="10"/>
  </w:num>
  <w:num w:numId="8">
    <w:abstractNumId w:val="1"/>
  </w:num>
  <w:num w:numId="9">
    <w:abstractNumId w:val="9"/>
  </w:num>
  <w:num w:numId="10">
    <w:abstractNumId w:val="7"/>
  </w:num>
  <w:num w:numId="11">
    <w:abstractNumId w:val="15"/>
  </w:num>
  <w:num w:numId="12">
    <w:abstractNumId w:val="15"/>
    <w:lvlOverride w:ilvl="0">
      <w:startOverride w:val="1"/>
    </w:lvlOverride>
  </w:num>
  <w:num w:numId="13">
    <w:abstractNumId w:val="8"/>
  </w:num>
  <w:num w:numId="14">
    <w:abstractNumId w:val="12"/>
    <w:lvlOverride w:ilvl="0">
      <w:startOverride w:val="1"/>
    </w:lvlOverride>
  </w:num>
  <w:num w:numId="15">
    <w:abstractNumId w:val="14"/>
    <w:lvlOverride w:ilvl="0">
      <w:startOverride w:val="2"/>
    </w:lvlOverride>
  </w:num>
  <w:num w:numId="16">
    <w:abstractNumId w:val="11"/>
    <w:lvlOverride w:ilvl="0">
      <w:startOverride w:val="3"/>
    </w:lvlOverride>
  </w:num>
  <w:num w:numId="17">
    <w:abstractNumId w:val="0"/>
    <w:lvlOverride w:ilvl="0">
      <w:startOverride w:val="4"/>
    </w:lvlOverride>
  </w:num>
  <w:num w:numId="18">
    <w:abstractNumId w:val="0"/>
    <w:lvlOverride w:ilvl="0">
      <w:startOverride w:val="2"/>
    </w:lvlOverride>
  </w:num>
  <w:num w:numId="19">
    <w:abstractNumId w:val="0"/>
    <w:lvlOverride w:ilvl="0">
      <w:startOverride w:val="2"/>
    </w:lvlOverride>
  </w:num>
  <w:num w:numId="20">
    <w:abstractNumId w:val="6"/>
    <w:lvlOverride w:ilvl="0">
      <w:startOverride w:val="1"/>
    </w:lvlOverride>
  </w:num>
  <w:num w:numId="21">
    <w:abstractNumId w:val="3"/>
  </w:num>
  <w:num w:numId="22">
    <w:abstractNumId w:val="3"/>
    <w:lvlOverride w:ilvl="0">
      <w:startOverride w:val="2"/>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DEE"/>
    <w:rsid w:val="0000030E"/>
    <w:rsid w:val="0000099C"/>
    <w:rsid w:val="00005159"/>
    <w:rsid w:val="00010E54"/>
    <w:rsid w:val="000113D8"/>
    <w:rsid w:val="00011A31"/>
    <w:rsid w:val="000128DD"/>
    <w:rsid w:val="00013734"/>
    <w:rsid w:val="00013969"/>
    <w:rsid w:val="00013FE8"/>
    <w:rsid w:val="00015B91"/>
    <w:rsid w:val="00021A84"/>
    <w:rsid w:val="00021D1E"/>
    <w:rsid w:val="0002236C"/>
    <w:rsid w:val="0002236F"/>
    <w:rsid w:val="00023BF8"/>
    <w:rsid w:val="00024050"/>
    <w:rsid w:val="00024F1F"/>
    <w:rsid w:val="000259EE"/>
    <w:rsid w:val="0003026C"/>
    <w:rsid w:val="00032781"/>
    <w:rsid w:val="00034E20"/>
    <w:rsid w:val="0003649E"/>
    <w:rsid w:val="00040FA6"/>
    <w:rsid w:val="00042807"/>
    <w:rsid w:val="0004345A"/>
    <w:rsid w:val="0004363B"/>
    <w:rsid w:val="00044BBA"/>
    <w:rsid w:val="0004720D"/>
    <w:rsid w:val="000474A0"/>
    <w:rsid w:val="00050637"/>
    <w:rsid w:val="00050E1C"/>
    <w:rsid w:val="00051203"/>
    <w:rsid w:val="00053576"/>
    <w:rsid w:val="00054DEE"/>
    <w:rsid w:val="00056843"/>
    <w:rsid w:val="00057F83"/>
    <w:rsid w:val="00060066"/>
    <w:rsid w:val="00060866"/>
    <w:rsid w:val="00062A00"/>
    <w:rsid w:val="00063153"/>
    <w:rsid w:val="000631A0"/>
    <w:rsid w:val="0006331B"/>
    <w:rsid w:val="00063BEA"/>
    <w:rsid w:val="00064150"/>
    <w:rsid w:val="00065E4F"/>
    <w:rsid w:val="00066336"/>
    <w:rsid w:val="000676E1"/>
    <w:rsid w:val="000679FB"/>
    <w:rsid w:val="00070031"/>
    <w:rsid w:val="00070E8A"/>
    <w:rsid w:val="000720B7"/>
    <w:rsid w:val="00072507"/>
    <w:rsid w:val="00074B52"/>
    <w:rsid w:val="00074C41"/>
    <w:rsid w:val="0007711B"/>
    <w:rsid w:val="000804F9"/>
    <w:rsid w:val="0008072D"/>
    <w:rsid w:val="000818A1"/>
    <w:rsid w:val="0008197F"/>
    <w:rsid w:val="00082133"/>
    <w:rsid w:val="0008245F"/>
    <w:rsid w:val="00082E26"/>
    <w:rsid w:val="00083215"/>
    <w:rsid w:val="00083667"/>
    <w:rsid w:val="000837DE"/>
    <w:rsid w:val="00083D6C"/>
    <w:rsid w:val="00083F27"/>
    <w:rsid w:val="0008507A"/>
    <w:rsid w:val="00086657"/>
    <w:rsid w:val="0008754C"/>
    <w:rsid w:val="0008762B"/>
    <w:rsid w:val="00087E00"/>
    <w:rsid w:val="000919AB"/>
    <w:rsid w:val="0009231A"/>
    <w:rsid w:val="00095A89"/>
    <w:rsid w:val="000968FF"/>
    <w:rsid w:val="00096A25"/>
    <w:rsid w:val="00096C88"/>
    <w:rsid w:val="000A1B8A"/>
    <w:rsid w:val="000A34B1"/>
    <w:rsid w:val="000A4500"/>
    <w:rsid w:val="000A5925"/>
    <w:rsid w:val="000A5CB1"/>
    <w:rsid w:val="000A6CC2"/>
    <w:rsid w:val="000A78F9"/>
    <w:rsid w:val="000B154A"/>
    <w:rsid w:val="000B22A9"/>
    <w:rsid w:val="000B22FA"/>
    <w:rsid w:val="000B2A3C"/>
    <w:rsid w:val="000B3C4B"/>
    <w:rsid w:val="000C25F6"/>
    <w:rsid w:val="000C36E5"/>
    <w:rsid w:val="000C4033"/>
    <w:rsid w:val="000D1AD6"/>
    <w:rsid w:val="000D1D8B"/>
    <w:rsid w:val="000D2691"/>
    <w:rsid w:val="000D2A0A"/>
    <w:rsid w:val="000D3E63"/>
    <w:rsid w:val="000D5030"/>
    <w:rsid w:val="000E0135"/>
    <w:rsid w:val="000E021C"/>
    <w:rsid w:val="000E1CF5"/>
    <w:rsid w:val="000E3392"/>
    <w:rsid w:val="000E3C7C"/>
    <w:rsid w:val="000E6363"/>
    <w:rsid w:val="000E7392"/>
    <w:rsid w:val="000E7B0C"/>
    <w:rsid w:val="000F2575"/>
    <w:rsid w:val="000F27F1"/>
    <w:rsid w:val="000F2DEB"/>
    <w:rsid w:val="000F7FE6"/>
    <w:rsid w:val="00100098"/>
    <w:rsid w:val="00100E82"/>
    <w:rsid w:val="00100FB7"/>
    <w:rsid w:val="00101CE3"/>
    <w:rsid w:val="00102894"/>
    <w:rsid w:val="00102EF5"/>
    <w:rsid w:val="0010411E"/>
    <w:rsid w:val="00104583"/>
    <w:rsid w:val="00105055"/>
    <w:rsid w:val="0010518A"/>
    <w:rsid w:val="00105856"/>
    <w:rsid w:val="00105B02"/>
    <w:rsid w:val="00106B8D"/>
    <w:rsid w:val="001072D3"/>
    <w:rsid w:val="00110FE7"/>
    <w:rsid w:val="001119A1"/>
    <w:rsid w:val="00111A77"/>
    <w:rsid w:val="00112F29"/>
    <w:rsid w:val="001131AB"/>
    <w:rsid w:val="00114165"/>
    <w:rsid w:val="001142D4"/>
    <w:rsid w:val="0011530F"/>
    <w:rsid w:val="00115E0D"/>
    <w:rsid w:val="00122580"/>
    <w:rsid w:val="001227C6"/>
    <w:rsid w:val="00123D4E"/>
    <w:rsid w:val="00125300"/>
    <w:rsid w:val="00126D8C"/>
    <w:rsid w:val="00127866"/>
    <w:rsid w:val="00132AF2"/>
    <w:rsid w:val="00132CF8"/>
    <w:rsid w:val="00134100"/>
    <w:rsid w:val="00136980"/>
    <w:rsid w:val="00137D9E"/>
    <w:rsid w:val="001405BF"/>
    <w:rsid w:val="0014204B"/>
    <w:rsid w:val="00142AD2"/>
    <w:rsid w:val="00143E1E"/>
    <w:rsid w:val="00143EF4"/>
    <w:rsid w:val="00144970"/>
    <w:rsid w:val="001468FF"/>
    <w:rsid w:val="001504A6"/>
    <w:rsid w:val="00150A3F"/>
    <w:rsid w:val="001531DA"/>
    <w:rsid w:val="00153205"/>
    <w:rsid w:val="00155303"/>
    <w:rsid w:val="00155A53"/>
    <w:rsid w:val="001564A9"/>
    <w:rsid w:val="00156A90"/>
    <w:rsid w:val="00157FD1"/>
    <w:rsid w:val="00161321"/>
    <w:rsid w:val="001622D4"/>
    <w:rsid w:val="001623E2"/>
    <w:rsid w:val="00162987"/>
    <w:rsid w:val="00163D80"/>
    <w:rsid w:val="00164252"/>
    <w:rsid w:val="0016479E"/>
    <w:rsid w:val="001647CB"/>
    <w:rsid w:val="00167300"/>
    <w:rsid w:val="00170BEE"/>
    <w:rsid w:val="00176828"/>
    <w:rsid w:val="001778F7"/>
    <w:rsid w:val="00180C6F"/>
    <w:rsid w:val="00181A2A"/>
    <w:rsid w:val="00182618"/>
    <w:rsid w:val="00182835"/>
    <w:rsid w:val="00182E38"/>
    <w:rsid w:val="001843C0"/>
    <w:rsid w:val="0018478D"/>
    <w:rsid w:val="0018542F"/>
    <w:rsid w:val="001864A7"/>
    <w:rsid w:val="00187056"/>
    <w:rsid w:val="00192624"/>
    <w:rsid w:val="001931AB"/>
    <w:rsid w:val="00193A2B"/>
    <w:rsid w:val="00193EB8"/>
    <w:rsid w:val="00194525"/>
    <w:rsid w:val="0019484E"/>
    <w:rsid w:val="0019581F"/>
    <w:rsid w:val="00196516"/>
    <w:rsid w:val="001A0C6A"/>
    <w:rsid w:val="001A0C98"/>
    <w:rsid w:val="001A0F1A"/>
    <w:rsid w:val="001A1957"/>
    <w:rsid w:val="001A673C"/>
    <w:rsid w:val="001A7806"/>
    <w:rsid w:val="001B2529"/>
    <w:rsid w:val="001B2816"/>
    <w:rsid w:val="001B2E42"/>
    <w:rsid w:val="001B45C6"/>
    <w:rsid w:val="001B5691"/>
    <w:rsid w:val="001B79B5"/>
    <w:rsid w:val="001C17DF"/>
    <w:rsid w:val="001C4A1A"/>
    <w:rsid w:val="001C55E4"/>
    <w:rsid w:val="001D0144"/>
    <w:rsid w:val="001D0E26"/>
    <w:rsid w:val="001D62A6"/>
    <w:rsid w:val="001D76E1"/>
    <w:rsid w:val="001E37F4"/>
    <w:rsid w:val="001E3DD9"/>
    <w:rsid w:val="001E4F7D"/>
    <w:rsid w:val="001E5DE2"/>
    <w:rsid w:val="001E5ECF"/>
    <w:rsid w:val="001E70CF"/>
    <w:rsid w:val="001F1D03"/>
    <w:rsid w:val="001F20CE"/>
    <w:rsid w:val="001F38C8"/>
    <w:rsid w:val="001F3A5E"/>
    <w:rsid w:val="001F427E"/>
    <w:rsid w:val="001F4F77"/>
    <w:rsid w:val="00201F57"/>
    <w:rsid w:val="0020253E"/>
    <w:rsid w:val="00202BF1"/>
    <w:rsid w:val="0020533A"/>
    <w:rsid w:val="002053CA"/>
    <w:rsid w:val="0020558E"/>
    <w:rsid w:val="00206D6B"/>
    <w:rsid w:val="00210646"/>
    <w:rsid w:val="00211B8C"/>
    <w:rsid w:val="00212648"/>
    <w:rsid w:val="00212AA0"/>
    <w:rsid w:val="00212BB9"/>
    <w:rsid w:val="00215EB0"/>
    <w:rsid w:val="00217E22"/>
    <w:rsid w:val="0022227E"/>
    <w:rsid w:val="002238DF"/>
    <w:rsid w:val="00225D77"/>
    <w:rsid w:val="00226572"/>
    <w:rsid w:val="00226889"/>
    <w:rsid w:val="002271E2"/>
    <w:rsid w:val="002272AE"/>
    <w:rsid w:val="002315D0"/>
    <w:rsid w:val="00231E01"/>
    <w:rsid w:val="00234D0B"/>
    <w:rsid w:val="00234DBE"/>
    <w:rsid w:val="00240537"/>
    <w:rsid w:val="00241B4A"/>
    <w:rsid w:val="002429AB"/>
    <w:rsid w:val="00242D2C"/>
    <w:rsid w:val="00242E2D"/>
    <w:rsid w:val="00243378"/>
    <w:rsid w:val="002447A1"/>
    <w:rsid w:val="00244C05"/>
    <w:rsid w:val="00244CA2"/>
    <w:rsid w:val="00245549"/>
    <w:rsid w:val="00245873"/>
    <w:rsid w:val="00246704"/>
    <w:rsid w:val="002467C6"/>
    <w:rsid w:val="00247DAE"/>
    <w:rsid w:val="00247FC9"/>
    <w:rsid w:val="0025085A"/>
    <w:rsid w:val="0025162A"/>
    <w:rsid w:val="00253264"/>
    <w:rsid w:val="00253D14"/>
    <w:rsid w:val="00253E8F"/>
    <w:rsid w:val="002552B2"/>
    <w:rsid w:val="00257FC0"/>
    <w:rsid w:val="0026249F"/>
    <w:rsid w:val="002677DB"/>
    <w:rsid w:val="00267A2E"/>
    <w:rsid w:val="002711DF"/>
    <w:rsid w:val="00271BB4"/>
    <w:rsid w:val="002726B3"/>
    <w:rsid w:val="00273BF1"/>
    <w:rsid w:val="00274E63"/>
    <w:rsid w:val="002839AD"/>
    <w:rsid w:val="00287CEE"/>
    <w:rsid w:val="00290086"/>
    <w:rsid w:val="002915EB"/>
    <w:rsid w:val="00291C32"/>
    <w:rsid w:val="00292371"/>
    <w:rsid w:val="00293951"/>
    <w:rsid w:val="00294870"/>
    <w:rsid w:val="00295299"/>
    <w:rsid w:val="00295961"/>
    <w:rsid w:val="0029785C"/>
    <w:rsid w:val="002A0912"/>
    <w:rsid w:val="002A3A57"/>
    <w:rsid w:val="002A48B2"/>
    <w:rsid w:val="002A4919"/>
    <w:rsid w:val="002A5011"/>
    <w:rsid w:val="002A7717"/>
    <w:rsid w:val="002B406A"/>
    <w:rsid w:val="002B6274"/>
    <w:rsid w:val="002B6399"/>
    <w:rsid w:val="002B7B32"/>
    <w:rsid w:val="002C069F"/>
    <w:rsid w:val="002C1646"/>
    <w:rsid w:val="002C174C"/>
    <w:rsid w:val="002C4994"/>
    <w:rsid w:val="002C5B97"/>
    <w:rsid w:val="002C5DCE"/>
    <w:rsid w:val="002C61F7"/>
    <w:rsid w:val="002D1DCB"/>
    <w:rsid w:val="002D1FAE"/>
    <w:rsid w:val="002D4C65"/>
    <w:rsid w:val="002E2EB4"/>
    <w:rsid w:val="002E3034"/>
    <w:rsid w:val="002E3ACC"/>
    <w:rsid w:val="002E63CC"/>
    <w:rsid w:val="002E648D"/>
    <w:rsid w:val="002E6730"/>
    <w:rsid w:val="002F0669"/>
    <w:rsid w:val="002F1F00"/>
    <w:rsid w:val="002F23E9"/>
    <w:rsid w:val="002F39CB"/>
    <w:rsid w:val="002F4DD6"/>
    <w:rsid w:val="002F528E"/>
    <w:rsid w:val="002F580B"/>
    <w:rsid w:val="002F642A"/>
    <w:rsid w:val="002F7095"/>
    <w:rsid w:val="0030067D"/>
    <w:rsid w:val="0030163C"/>
    <w:rsid w:val="00301677"/>
    <w:rsid w:val="003024B1"/>
    <w:rsid w:val="003037CD"/>
    <w:rsid w:val="00304057"/>
    <w:rsid w:val="00304CB5"/>
    <w:rsid w:val="00310923"/>
    <w:rsid w:val="00310DD4"/>
    <w:rsid w:val="00311F1A"/>
    <w:rsid w:val="00312BE1"/>
    <w:rsid w:val="00312CA6"/>
    <w:rsid w:val="003142E8"/>
    <w:rsid w:val="00315D99"/>
    <w:rsid w:val="00316B77"/>
    <w:rsid w:val="0031725C"/>
    <w:rsid w:val="00321AD9"/>
    <w:rsid w:val="00321F35"/>
    <w:rsid w:val="003234EA"/>
    <w:rsid w:val="00325D3B"/>
    <w:rsid w:val="00326B49"/>
    <w:rsid w:val="0032732C"/>
    <w:rsid w:val="0033112D"/>
    <w:rsid w:val="00331760"/>
    <w:rsid w:val="003321D3"/>
    <w:rsid w:val="00332DB7"/>
    <w:rsid w:val="00335765"/>
    <w:rsid w:val="00335C63"/>
    <w:rsid w:val="00336124"/>
    <w:rsid w:val="00336283"/>
    <w:rsid w:val="0034097A"/>
    <w:rsid w:val="00340C73"/>
    <w:rsid w:val="00341824"/>
    <w:rsid w:val="00342515"/>
    <w:rsid w:val="00342A56"/>
    <w:rsid w:val="00343F15"/>
    <w:rsid w:val="00345BDF"/>
    <w:rsid w:val="003513D6"/>
    <w:rsid w:val="00351738"/>
    <w:rsid w:val="00351B9A"/>
    <w:rsid w:val="00352C95"/>
    <w:rsid w:val="00355E84"/>
    <w:rsid w:val="00356561"/>
    <w:rsid w:val="003568FB"/>
    <w:rsid w:val="003600A7"/>
    <w:rsid w:val="003602A0"/>
    <w:rsid w:val="003608F3"/>
    <w:rsid w:val="00362342"/>
    <w:rsid w:val="00362494"/>
    <w:rsid w:val="00362D65"/>
    <w:rsid w:val="00362DEF"/>
    <w:rsid w:val="00363C73"/>
    <w:rsid w:val="003643F2"/>
    <w:rsid w:val="00364B75"/>
    <w:rsid w:val="00371DA2"/>
    <w:rsid w:val="0037252D"/>
    <w:rsid w:val="003725E1"/>
    <w:rsid w:val="00374EC5"/>
    <w:rsid w:val="003750B9"/>
    <w:rsid w:val="00375D1A"/>
    <w:rsid w:val="00376EBF"/>
    <w:rsid w:val="00376F32"/>
    <w:rsid w:val="003773DF"/>
    <w:rsid w:val="00377CCA"/>
    <w:rsid w:val="00377E36"/>
    <w:rsid w:val="003811E2"/>
    <w:rsid w:val="00382818"/>
    <w:rsid w:val="00383724"/>
    <w:rsid w:val="003839BA"/>
    <w:rsid w:val="00385FFC"/>
    <w:rsid w:val="0038724C"/>
    <w:rsid w:val="00387892"/>
    <w:rsid w:val="00390544"/>
    <w:rsid w:val="003906A7"/>
    <w:rsid w:val="003913D7"/>
    <w:rsid w:val="003924A8"/>
    <w:rsid w:val="003935C0"/>
    <w:rsid w:val="0039443C"/>
    <w:rsid w:val="00394516"/>
    <w:rsid w:val="00394F41"/>
    <w:rsid w:val="00395437"/>
    <w:rsid w:val="00395817"/>
    <w:rsid w:val="00396327"/>
    <w:rsid w:val="003A07D2"/>
    <w:rsid w:val="003A266D"/>
    <w:rsid w:val="003A2F88"/>
    <w:rsid w:val="003A4B09"/>
    <w:rsid w:val="003A4E4B"/>
    <w:rsid w:val="003A6E06"/>
    <w:rsid w:val="003A778A"/>
    <w:rsid w:val="003A7D0D"/>
    <w:rsid w:val="003B0427"/>
    <w:rsid w:val="003B0529"/>
    <w:rsid w:val="003B1878"/>
    <w:rsid w:val="003B4623"/>
    <w:rsid w:val="003B4F53"/>
    <w:rsid w:val="003B5401"/>
    <w:rsid w:val="003B5B02"/>
    <w:rsid w:val="003B6669"/>
    <w:rsid w:val="003B7836"/>
    <w:rsid w:val="003B792D"/>
    <w:rsid w:val="003C5A22"/>
    <w:rsid w:val="003C6A8D"/>
    <w:rsid w:val="003C710A"/>
    <w:rsid w:val="003C7BF7"/>
    <w:rsid w:val="003D37EE"/>
    <w:rsid w:val="003D4667"/>
    <w:rsid w:val="003D4FD9"/>
    <w:rsid w:val="003D53DF"/>
    <w:rsid w:val="003D5B57"/>
    <w:rsid w:val="003E14AE"/>
    <w:rsid w:val="003E51A8"/>
    <w:rsid w:val="003E5B20"/>
    <w:rsid w:val="003E6C41"/>
    <w:rsid w:val="003E6E23"/>
    <w:rsid w:val="003E736C"/>
    <w:rsid w:val="003E78F1"/>
    <w:rsid w:val="003F2EE9"/>
    <w:rsid w:val="003F2EF9"/>
    <w:rsid w:val="003F403A"/>
    <w:rsid w:val="003F4164"/>
    <w:rsid w:val="003F48D9"/>
    <w:rsid w:val="003F5E10"/>
    <w:rsid w:val="003F6892"/>
    <w:rsid w:val="003F7AD1"/>
    <w:rsid w:val="00400846"/>
    <w:rsid w:val="0040194E"/>
    <w:rsid w:val="0040292B"/>
    <w:rsid w:val="0040409E"/>
    <w:rsid w:val="00410FC1"/>
    <w:rsid w:val="0041141B"/>
    <w:rsid w:val="004116E0"/>
    <w:rsid w:val="00415EA9"/>
    <w:rsid w:val="00417DC6"/>
    <w:rsid w:val="0042012D"/>
    <w:rsid w:val="00421B8D"/>
    <w:rsid w:val="00422005"/>
    <w:rsid w:val="00423848"/>
    <w:rsid w:val="00423C16"/>
    <w:rsid w:val="00424B6F"/>
    <w:rsid w:val="004268C1"/>
    <w:rsid w:val="00430BCB"/>
    <w:rsid w:val="00432AFC"/>
    <w:rsid w:val="00434AA8"/>
    <w:rsid w:val="00435833"/>
    <w:rsid w:val="0043617E"/>
    <w:rsid w:val="0043792C"/>
    <w:rsid w:val="004403E6"/>
    <w:rsid w:val="004445AD"/>
    <w:rsid w:val="00445307"/>
    <w:rsid w:val="004457C1"/>
    <w:rsid w:val="00446A20"/>
    <w:rsid w:val="00446FF5"/>
    <w:rsid w:val="00447FEF"/>
    <w:rsid w:val="004503E1"/>
    <w:rsid w:val="00450D38"/>
    <w:rsid w:val="00452964"/>
    <w:rsid w:val="00452E61"/>
    <w:rsid w:val="004535BA"/>
    <w:rsid w:val="00456006"/>
    <w:rsid w:val="0045610F"/>
    <w:rsid w:val="0045636A"/>
    <w:rsid w:val="0045646A"/>
    <w:rsid w:val="004577E9"/>
    <w:rsid w:val="004605E4"/>
    <w:rsid w:val="004617F1"/>
    <w:rsid w:val="00471B99"/>
    <w:rsid w:val="004730A7"/>
    <w:rsid w:val="004739ED"/>
    <w:rsid w:val="00473C1F"/>
    <w:rsid w:val="004740BC"/>
    <w:rsid w:val="00475053"/>
    <w:rsid w:val="0047543B"/>
    <w:rsid w:val="00476B59"/>
    <w:rsid w:val="00481CCC"/>
    <w:rsid w:val="00482A2B"/>
    <w:rsid w:val="00482DCE"/>
    <w:rsid w:val="004848E3"/>
    <w:rsid w:val="00485BC6"/>
    <w:rsid w:val="0048689A"/>
    <w:rsid w:val="00487461"/>
    <w:rsid w:val="00491A42"/>
    <w:rsid w:val="004A1E12"/>
    <w:rsid w:val="004A2B3A"/>
    <w:rsid w:val="004A2C71"/>
    <w:rsid w:val="004A3323"/>
    <w:rsid w:val="004A4937"/>
    <w:rsid w:val="004A5030"/>
    <w:rsid w:val="004A5BFC"/>
    <w:rsid w:val="004A6626"/>
    <w:rsid w:val="004B0DE0"/>
    <w:rsid w:val="004B2501"/>
    <w:rsid w:val="004B2A5F"/>
    <w:rsid w:val="004B312A"/>
    <w:rsid w:val="004B453A"/>
    <w:rsid w:val="004B4790"/>
    <w:rsid w:val="004B4B64"/>
    <w:rsid w:val="004B4CEB"/>
    <w:rsid w:val="004B5F28"/>
    <w:rsid w:val="004B65FE"/>
    <w:rsid w:val="004B6F93"/>
    <w:rsid w:val="004B7617"/>
    <w:rsid w:val="004C1422"/>
    <w:rsid w:val="004C143A"/>
    <w:rsid w:val="004C17D1"/>
    <w:rsid w:val="004C2870"/>
    <w:rsid w:val="004C3B0B"/>
    <w:rsid w:val="004C3DFC"/>
    <w:rsid w:val="004C49E0"/>
    <w:rsid w:val="004D0943"/>
    <w:rsid w:val="004D1D51"/>
    <w:rsid w:val="004D2600"/>
    <w:rsid w:val="004D26BD"/>
    <w:rsid w:val="004D2D30"/>
    <w:rsid w:val="004D31BC"/>
    <w:rsid w:val="004D3360"/>
    <w:rsid w:val="004D3FAA"/>
    <w:rsid w:val="004D457B"/>
    <w:rsid w:val="004D4848"/>
    <w:rsid w:val="004D6113"/>
    <w:rsid w:val="004D65E5"/>
    <w:rsid w:val="004D793E"/>
    <w:rsid w:val="004E0F6F"/>
    <w:rsid w:val="004E4459"/>
    <w:rsid w:val="004E475C"/>
    <w:rsid w:val="004E5820"/>
    <w:rsid w:val="004E5EDB"/>
    <w:rsid w:val="004F0A68"/>
    <w:rsid w:val="004F1481"/>
    <w:rsid w:val="004F366E"/>
    <w:rsid w:val="004F4294"/>
    <w:rsid w:val="004F52D6"/>
    <w:rsid w:val="004F53A5"/>
    <w:rsid w:val="004F78AD"/>
    <w:rsid w:val="00500474"/>
    <w:rsid w:val="00500C75"/>
    <w:rsid w:val="00500D1A"/>
    <w:rsid w:val="00500F9A"/>
    <w:rsid w:val="0050263E"/>
    <w:rsid w:val="0050290B"/>
    <w:rsid w:val="00502932"/>
    <w:rsid w:val="00502FB7"/>
    <w:rsid w:val="00504033"/>
    <w:rsid w:val="005040BD"/>
    <w:rsid w:val="005048EC"/>
    <w:rsid w:val="0050714E"/>
    <w:rsid w:val="00507E49"/>
    <w:rsid w:val="00510738"/>
    <w:rsid w:val="00510745"/>
    <w:rsid w:val="00511A40"/>
    <w:rsid w:val="00511A58"/>
    <w:rsid w:val="005123AE"/>
    <w:rsid w:val="00512D85"/>
    <w:rsid w:val="00513F1C"/>
    <w:rsid w:val="00514E89"/>
    <w:rsid w:val="00514F3C"/>
    <w:rsid w:val="0051546D"/>
    <w:rsid w:val="00520521"/>
    <w:rsid w:val="005208EB"/>
    <w:rsid w:val="00521F5E"/>
    <w:rsid w:val="005220C9"/>
    <w:rsid w:val="00524070"/>
    <w:rsid w:val="005240F6"/>
    <w:rsid w:val="00524546"/>
    <w:rsid w:val="00524984"/>
    <w:rsid w:val="00524CF8"/>
    <w:rsid w:val="00525976"/>
    <w:rsid w:val="00526739"/>
    <w:rsid w:val="00527F63"/>
    <w:rsid w:val="005303E7"/>
    <w:rsid w:val="00530DF8"/>
    <w:rsid w:val="00531644"/>
    <w:rsid w:val="00533169"/>
    <w:rsid w:val="00533CE8"/>
    <w:rsid w:val="00534479"/>
    <w:rsid w:val="00534B45"/>
    <w:rsid w:val="00535E29"/>
    <w:rsid w:val="00536E14"/>
    <w:rsid w:val="00537510"/>
    <w:rsid w:val="00537ED7"/>
    <w:rsid w:val="00541BE3"/>
    <w:rsid w:val="005435BE"/>
    <w:rsid w:val="00545CA9"/>
    <w:rsid w:val="00546A15"/>
    <w:rsid w:val="005506C4"/>
    <w:rsid w:val="00551A26"/>
    <w:rsid w:val="00551E92"/>
    <w:rsid w:val="005529AA"/>
    <w:rsid w:val="00556FD8"/>
    <w:rsid w:val="00557330"/>
    <w:rsid w:val="00557972"/>
    <w:rsid w:val="00560B27"/>
    <w:rsid w:val="00560B68"/>
    <w:rsid w:val="00563E63"/>
    <w:rsid w:val="005678DA"/>
    <w:rsid w:val="0057148D"/>
    <w:rsid w:val="005718A7"/>
    <w:rsid w:val="00572A68"/>
    <w:rsid w:val="005750BB"/>
    <w:rsid w:val="00575809"/>
    <w:rsid w:val="00576FFF"/>
    <w:rsid w:val="005773C4"/>
    <w:rsid w:val="00580423"/>
    <w:rsid w:val="0058268E"/>
    <w:rsid w:val="00584A8D"/>
    <w:rsid w:val="00585DCD"/>
    <w:rsid w:val="00587371"/>
    <w:rsid w:val="00590320"/>
    <w:rsid w:val="00592FE5"/>
    <w:rsid w:val="00593E58"/>
    <w:rsid w:val="00595EE6"/>
    <w:rsid w:val="00596E09"/>
    <w:rsid w:val="005A331F"/>
    <w:rsid w:val="005A495F"/>
    <w:rsid w:val="005A4B9E"/>
    <w:rsid w:val="005A5AC9"/>
    <w:rsid w:val="005A5EC6"/>
    <w:rsid w:val="005A6037"/>
    <w:rsid w:val="005B1317"/>
    <w:rsid w:val="005B236C"/>
    <w:rsid w:val="005B376D"/>
    <w:rsid w:val="005B3A83"/>
    <w:rsid w:val="005B45CF"/>
    <w:rsid w:val="005B4B5B"/>
    <w:rsid w:val="005B6978"/>
    <w:rsid w:val="005B7172"/>
    <w:rsid w:val="005B739B"/>
    <w:rsid w:val="005C0530"/>
    <w:rsid w:val="005C258A"/>
    <w:rsid w:val="005C2DAE"/>
    <w:rsid w:val="005C3864"/>
    <w:rsid w:val="005C4A9D"/>
    <w:rsid w:val="005C5AD6"/>
    <w:rsid w:val="005C5CF1"/>
    <w:rsid w:val="005C6859"/>
    <w:rsid w:val="005D022A"/>
    <w:rsid w:val="005D1DC0"/>
    <w:rsid w:val="005D27B3"/>
    <w:rsid w:val="005D365C"/>
    <w:rsid w:val="005D3C83"/>
    <w:rsid w:val="005D5458"/>
    <w:rsid w:val="005D56C7"/>
    <w:rsid w:val="005D5B75"/>
    <w:rsid w:val="005D622D"/>
    <w:rsid w:val="005E1277"/>
    <w:rsid w:val="005E2C63"/>
    <w:rsid w:val="005E3D0D"/>
    <w:rsid w:val="005E582F"/>
    <w:rsid w:val="005E5843"/>
    <w:rsid w:val="005E5CC7"/>
    <w:rsid w:val="005E6FDD"/>
    <w:rsid w:val="005E7104"/>
    <w:rsid w:val="005E7267"/>
    <w:rsid w:val="005E7E64"/>
    <w:rsid w:val="005E7E90"/>
    <w:rsid w:val="005F00FB"/>
    <w:rsid w:val="005F0CB4"/>
    <w:rsid w:val="005F2069"/>
    <w:rsid w:val="005F36EF"/>
    <w:rsid w:val="005F5C3A"/>
    <w:rsid w:val="005F7C91"/>
    <w:rsid w:val="00600C8B"/>
    <w:rsid w:val="00601196"/>
    <w:rsid w:val="00601963"/>
    <w:rsid w:val="00602187"/>
    <w:rsid w:val="00603BC9"/>
    <w:rsid w:val="00606A9C"/>
    <w:rsid w:val="00611537"/>
    <w:rsid w:val="00611DBC"/>
    <w:rsid w:val="00612306"/>
    <w:rsid w:val="00612656"/>
    <w:rsid w:val="00613F71"/>
    <w:rsid w:val="00614647"/>
    <w:rsid w:val="00621055"/>
    <w:rsid w:val="0062129C"/>
    <w:rsid w:val="0062244B"/>
    <w:rsid w:val="006253A5"/>
    <w:rsid w:val="00625CC0"/>
    <w:rsid w:val="006274F2"/>
    <w:rsid w:val="006303A7"/>
    <w:rsid w:val="006308FC"/>
    <w:rsid w:val="006342AC"/>
    <w:rsid w:val="00634E93"/>
    <w:rsid w:val="00637935"/>
    <w:rsid w:val="00637BD4"/>
    <w:rsid w:val="00637DA2"/>
    <w:rsid w:val="006404DB"/>
    <w:rsid w:val="00640EB3"/>
    <w:rsid w:val="00642520"/>
    <w:rsid w:val="0064294B"/>
    <w:rsid w:val="006441C2"/>
    <w:rsid w:val="00645BFE"/>
    <w:rsid w:val="006516FB"/>
    <w:rsid w:val="00653230"/>
    <w:rsid w:val="0065369F"/>
    <w:rsid w:val="00654751"/>
    <w:rsid w:val="006552BF"/>
    <w:rsid w:val="00655592"/>
    <w:rsid w:val="0065686A"/>
    <w:rsid w:val="00657DA9"/>
    <w:rsid w:val="00663BC4"/>
    <w:rsid w:val="00664886"/>
    <w:rsid w:val="00665E27"/>
    <w:rsid w:val="0066673E"/>
    <w:rsid w:val="00680981"/>
    <w:rsid w:val="00684D67"/>
    <w:rsid w:val="00686BDC"/>
    <w:rsid w:val="0068764D"/>
    <w:rsid w:val="00687A82"/>
    <w:rsid w:val="006903B6"/>
    <w:rsid w:val="006919D5"/>
    <w:rsid w:val="00692527"/>
    <w:rsid w:val="0069270E"/>
    <w:rsid w:val="00695C2A"/>
    <w:rsid w:val="00695D42"/>
    <w:rsid w:val="00695E80"/>
    <w:rsid w:val="006966F3"/>
    <w:rsid w:val="006A2B75"/>
    <w:rsid w:val="006A3DF0"/>
    <w:rsid w:val="006A3F92"/>
    <w:rsid w:val="006A3FBA"/>
    <w:rsid w:val="006B07E2"/>
    <w:rsid w:val="006B1C97"/>
    <w:rsid w:val="006B312B"/>
    <w:rsid w:val="006C05D1"/>
    <w:rsid w:val="006C190D"/>
    <w:rsid w:val="006C3245"/>
    <w:rsid w:val="006C405A"/>
    <w:rsid w:val="006C46D4"/>
    <w:rsid w:val="006C58AA"/>
    <w:rsid w:val="006C613B"/>
    <w:rsid w:val="006C659D"/>
    <w:rsid w:val="006C7221"/>
    <w:rsid w:val="006C7AA8"/>
    <w:rsid w:val="006D025B"/>
    <w:rsid w:val="006D089C"/>
    <w:rsid w:val="006D164B"/>
    <w:rsid w:val="006D1C4F"/>
    <w:rsid w:val="006D2A19"/>
    <w:rsid w:val="006D45BA"/>
    <w:rsid w:val="006D5986"/>
    <w:rsid w:val="006D5D8A"/>
    <w:rsid w:val="006D743A"/>
    <w:rsid w:val="006D7A3A"/>
    <w:rsid w:val="006E667D"/>
    <w:rsid w:val="006E6840"/>
    <w:rsid w:val="006E6B36"/>
    <w:rsid w:val="006F2FDE"/>
    <w:rsid w:val="006F5A3C"/>
    <w:rsid w:val="006F71EF"/>
    <w:rsid w:val="006F7ED0"/>
    <w:rsid w:val="007021C4"/>
    <w:rsid w:val="00706363"/>
    <w:rsid w:val="0070650F"/>
    <w:rsid w:val="007078AE"/>
    <w:rsid w:val="00711408"/>
    <w:rsid w:val="00712B22"/>
    <w:rsid w:val="0071300C"/>
    <w:rsid w:val="0071377C"/>
    <w:rsid w:val="00714715"/>
    <w:rsid w:val="00714C49"/>
    <w:rsid w:val="00716690"/>
    <w:rsid w:val="00716C3F"/>
    <w:rsid w:val="007235C8"/>
    <w:rsid w:val="00723FE0"/>
    <w:rsid w:val="007242D2"/>
    <w:rsid w:val="00724893"/>
    <w:rsid w:val="0072512B"/>
    <w:rsid w:val="00725287"/>
    <w:rsid w:val="007255F7"/>
    <w:rsid w:val="00725784"/>
    <w:rsid w:val="00725F77"/>
    <w:rsid w:val="00726CF0"/>
    <w:rsid w:val="00726DE6"/>
    <w:rsid w:val="007300F5"/>
    <w:rsid w:val="00734779"/>
    <w:rsid w:val="007365F8"/>
    <w:rsid w:val="00737177"/>
    <w:rsid w:val="00740793"/>
    <w:rsid w:val="00742844"/>
    <w:rsid w:val="00742E3D"/>
    <w:rsid w:val="007436D8"/>
    <w:rsid w:val="007466C9"/>
    <w:rsid w:val="00746BAB"/>
    <w:rsid w:val="00747F85"/>
    <w:rsid w:val="00752449"/>
    <w:rsid w:val="0075256D"/>
    <w:rsid w:val="007536EF"/>
    <w:rsid w:val="00755580"/>
    <w:rsid w:val="007556B3"/>
    <w:rsid w:val="00756187"/>
    <w:rsid w:val="00756E68"/>
    <w:rsid w:val="0076171F"/>
    <w:rsid w:val="007650CF"/>
    <w:rsid w:val="00765C2E"/>
    <w:rsid w:val="00776116"/>
    <w:rsid w:val="00780197"/>
    <w:rsid w:val="007809F7"/>
    <w:rsid w:val="00781B17"/>
    <w:rsid w:val="007828E3"/>
    <w:rsid w:val="00782DCC"/>
    <w:rsid w:val="007869BB"/>
    <w:rsid w:val="00786D22"/>
    <w:rsid w:val="00795FC9"/>
    <w:rsid w:val="00797078"/>
    <w:rsid w:val="007975E7"/>
    <w:rsid w:val="007A10AA"/>
    <w:rsid w:val="007A1F8D"/>
    <w:rsid w:val="007A5367"/>
    <w:rsid w:val="007A5BBA"/>
    <w:rsid w:val="007A7DFC"/>
    <w:rsid w:val="007B25C3"/>
    <w:rsid w:val="007B3719"/>
    <w:rsid w:val="007B432D"/>
    <w:rsid w:val="007B7915"/>
    <w:rsid w:val="007B7F96"/>
    <w:rsid w:val="007C0C02"/>
    <w:rsid w:val="007C215D"/>
    <w:rsid w:val="007C33A5"/>
    <w:rsid w:val="007C46C6"/>
    <w:rsid w:val="007C478F"/>
    <w:rsid w:val="007C500E"/>
    <w:rsid w:val="007C5EC1"/>
    <w:rsid w:val="007C64F9"/>
    <w:rsid w:val="007D0010"/>
    <w:rsid w:val="007D0631"/>
    <w:rsid w:val="007D1E67"/>
    <w:rsid w:val="007D1EB6"/>
    <w:rsid w:val="007D32CB"/>
    <w:rsid w:val="007E2E9C"/>
    <w:rsid w:val="007E530E"/>
    <w:rsid w:val="007F2C7E"/>
    <w:rsid w:val="007F3A49"/>
    <w:rsid w:val="007F6104"/>
    <w:rsid w:val="007F7728"/>
    <w:rsid w:val="007F78B3"/>
    <w:rsid w:val="007F7988"/>
    <w:rsid w:val="0080092E"/>
    <w:rsid w:val="00806784"/>
    <w:rsid w:val="00806D84"/>
    <w:rsid w:val="008071F6"/>
    <w:rsid w:val="008115C9"/>
    <w:rsid w:val="008121AC"/>
    <w:rsid w:val="008138AF"/>
    <w:rsid w:val="008146FC"/>
    <w:rsid w:val="008155B0"/>
    <w:rsid w:val="00816C47"/>
    <w:rsid w:val="00820184"/>
    <w:rsid w:val="0082056A"/>
    <w:rsid w:val="008207A7"/>
    <w:rsid w:val="0082090D"/>
    <w:rsid w:val="00824D8D"/>
    <w:rsid w:val="00824E09"/>
    <w:rsid w:val="0082709D"/>
    <w:rsid w:val="00827722"/>
    <w:rsid w:val="0083232E"/>
    <w:rsid w:val="00833F23"/>
    <w:rsid w:val="00833FBD"/>
    <w:rsid w:val="00835064"/>
    <w:rsid w:val="008437DB"/>
    <w:rsid w:val="00847F69"/>
    <w:rsid w:val="0085122D"/>
    <w:rsid w:val="008524D0"/>
    <w:rsid w:val="008537E2"/>
    <w:rsid w:val="00853CE8"/>
    <w:rsid w:val="0086082D"/>
    <w:rsid w:val="00861C4D"/>
    <w:rsid w:val="00862C8F"/>
    <w:rsid w:val="0086422C"/>
    <w:rsid w:val="00864E57"/>
    <w:rsid w:val="0086792B"/>
    <w:rsid w:val="00867B9B"/>
    <w:rsid w:val="00872D6C"/>
    <w:rsid w:val="008730D8"/>
    <w:rsid w:val="00874083"/>
    <w:rsid w:val="00874D13"/>
    <w:rsid w:val="0087515C"/>
    <w:rsid w:val="008805D8"/>
    <w:rsid w:val="00880B57"/>
    <w:rsid w:val="00881F26"/>
    <w:rsid w:val="0088207E"/>
    <w:rsid w:val="008844AC"/>
    <w:rsid w:val="008850C3"/>
    <w:rsid w:val="008876CA"/>
    <w:rsid w:val="00891180"/>
    <w:rsid w:val="00891ED9"/>
    <w:rsid w:val="008931AF"/>
    <w:rsid w:val="0089634B"/>
    <w:rsid w:val="0089715A"/>
    <w:rsid w:val="008A257F"/>
    <w:rsid w:val="008A2F0D"/>
    <w:rsid w:val="008A3671"/>
    <w:rsid w:val="008A4A1D"/>
    <w:rsid w:val="008A4F90"/>
    <w:rsid w:val="008A58D4"/>
    <w:rsid w:val="008A5B7F"/>
    <w:rsid w:val="008A7AD1"/>
    <w:rsid w:val="008B1346"/>
    <w:rsid w:val="008B1627"/>
    <w:rsid w:val="008B2289"/>
    <w:rsid w:val="008B32E5"/>
    <w:rsid w:val="008B4690"/>
    <w:rsid w:val="008B63C0"/>
    <w:rsid w:val="008B7BE7"/>
    <w:rsid w:val="008C0D60"/>
    <w:rsid w:val="008C1931"/>
    <w:rsid w:val="008C1C04"/>
    <w:rsid w:val="008C2906"/>
    <w:rsid w:val="008C430D"/>
    <w:rsid w:val="008C4D92"/>
    <w:rsid w:val="008C79DD"/>
    <w:rsid w:val="008D25B3"/>
    <w:rsid w:val="008D2A15"/>
    <w:rsid w:val="008D3B62"/>
    <w:rsid w:val="008D6474"/>
    <w:rsid w:val="008E0F43"/>
    <w:rsid w:val="008E23BC"/>
    <w:rsid w:val="008E33AD"/>
    <w:rsid w:val="008E7BAC"/>
    <w:rsid w:val="008F0928"/>
    <w:rsid w:val="008F163F"/>
    <w:rsid w:val="008F3353"/>
    <w:rsid w:val="008F5196"/>
    <w:rsid w:val="008F682E"/>
    <w:rsid w:val="008F7CCD"/>
    <w:rsid w:val="00900191"/>
    <w:rsid w:val="00900790"/>
    <w:rsid w:val="009007E6"/>
    <w:rsid w:val="00904048"/>
    <w:rsid w:val="00906BF3"/>
    <w:rsid w:val="00907818"/>
    <w:rsid w:val="00907F73"/>
    <w:rsid w:val="009109DC"/>
    <w:rsid w:val="0091174D"/>
    <w:rsid w:val="00912EB1"/>
    <w:rsid w:val="009134B3"/>
    <w:rsid w:val="00914CC4"/>
    <w:rsid w:val="00915C73"/>
    <w:rsid w:val="009171F6"/>
    <w:rsid w:val="00921DF0"/>
    <w:rsid w:val="009230AA"/>
    <w:rsid w:val="009239FA"/>
    <w:rsid w:val="0092421E"/>
    <w:rsid w:val="009244F9"/>
    <w:rsid w:val="009253C6"/>
    <w:rsid w:val="00930A36"/>
    <w:rsid w:val="00930C14"/>
    <w:rsid w:val="009313F1"/>
    <w:rsid w:val="009334DF"/>
    <w:rsid w:val="00933B75"/>
    <w:rsid w:val="00934607"/>
    <w:rsid w:val="00935227"/>
    <w:rsid w:val="00936097"/>
    <w:rsid w:val="00941784"/>
    <w:rsid w:val="00942F24"/>
    <w:rsid w:val="009441A4"/>
    <w:rsid w:val="00944A74"/>
    <w:rsid w:val="00947721"/>
    <w:rsid w:val="00947D08"/>
    <w:rsid w:val="009518A6"/>
    <w:rsid w:val="00951BDC"/>
    <w:rsid w:val="00952FA4"/>
    <w:rsid w:val="00953E89"/>
    <w:rsid w:val="00953EA1"/>
    <w:rsid w:val="00954D9C"/>
    <w:rsid w:val="00955E79"/>
    <w:rsid w:val="00956DA9"/>
    <w:rsid w:val="00957048"/>
    <w:rsid w:val="009608A9"/>
    <w:rsid w:val="0096178C"/>
    <w:rsid w:val="00962773"/>
    <w:rsid w:val="0096353A"/>
    <w:rsid w:val="009636D3"/>
    <w:rsid w:val="00964EA8"/>
    <w:rsid w:val="009669AB"/>
    <w:rsid w:val="009676D8"/>
    <w:rsid w:val="00970160"/>
    <w:rsid w:val="009745B1"/>
    <w:rsid w:val="00974A48"/>
    <w:rsid w:val="009753E8"/>
    <w:rsid w:val="009777AB"/>
    <w:rsid w:val="0098061C"/>
    <w:rsid w:val="00981DBB"/>
    <w:rsid w:val="00982305"/>
    <w:rsid w:val="00984A27"/>
    <w:rsid w:val="00986895"/>
    <w:rsid w:val="0099516A"/>
    <w:rsid w:val="00997891"/>
    <w:rsid w:val="009A3552"/>
    <w:rsid w:val="009A47F7"/>
    <w:rsid w:val="009B3C81"/>
    <w:rsid w:val="009B529D"/>
    <w:rsid w:val="009B5ADF"/>
    <w:rsid w:val="009B7E83"/>
    <w:rsid w:val="009C1377"/>
    <w:rsid w:val="009C4C29"/>
    <w:rsid w:val="009C547D"/>
    <w:rsid w:val="009C6314"/>
    <w:rsid w:val="009C654B"/>
    <w:rsid w:val="009C6B59"/>
    <w:rsid w:val="009C7C13"/>
    <w:rsid w:val="009C7E61"/>
    <w:rsid w:val="009C7FD2"/>
    <w:rsid w:val="009D01D7"/>
    <w:rsid w:val="009D2E54"/>
    <w:rsid w:val="009D6135"/>
    <w:rsid w:val="009D7E7D"/>
    <w:rsid w:val="009E00B8"/>
    <w:rsid w:val="009E01C7"/>
    <w:rsid w:val="009E0479"/>
    <w:rsid w:val="009E0D38"/>
    <w:rsid w:val="009E2749"/>
    <w:rsid w:val="009E274C"/>
    <w:rsid w:val="009E36B0"/>
    <w:rsid w:val="009E4A70"/>
    <w:rsid w:val="009E4C5B"/>
    <w:rsid w:val="009E6213"/>
    <w:rsid w:val="009E63DB"/>
    <w:rsid w:val="009E6D17"/>
    <w:rsid w:val="009E76A1"/>
    <w:rsid w:val="009E7E46"/>
    <w:rsid w:val="009F00F2"/>
    <w:rsid w:val="009F16F5"/>
    <w:rsid w:val="009F22E3"/>
    <w:rsid w:val="009F3B4C"/>
    <w:rsid w:val="009F4120"/>
    <w:rsid w:val="009F4C83"/>
    <w:rsid w:val="009F677E"/>
    <w:rsid w:val="00A01E88"/>
    <w:rsid w:val="00A02945"/>
    <w:rsid w:val="00A0339B"/>
    <w:rsid w:val="00A0535E"/>
    <w:rsid w:val="00A07098"/>
    <w:rsid w:val="00A12BD9"/>
    <w:rsid w:val="00A12E7C"/>
    <w:rsid w:val="00A14BD2"/>
    <w:rsid w:val="00A14EBF"/>
    <w:rsid w:val="00A15DFA"/>
    <w:rsid w:val="00A20901"/>
    <w:rsid w:val="00A21377"/>
    <w:rsid w:val="00A21462"/>
    <w:rsid w:val="00A2260D"/>
    <w:rsid w:val="00A25573"/>
    <w:rsid w:val="00A31A76"/>
    <w:rsid w:val="00A333A8"/>
    <w:rsid w:val="00A33ABA"/>
    <w:rsid w:val="00A34053"/>
    <w:rsid w:val="00A359E3"/>
    <w:rsid w:val="00A36072"/>
    <w:rsid w:val="00A415F5"/>
    <w:rsid w:val="00A42BD5"/>
    <w:rsid w:val="00A42C12"/>
    <w:rsid w:val="00A444FE"/>
    <w:rsid w:val="00A46918"/>
    <w:rsid w:val="00A475D1"/>
    <w:rsid w:val="00A47EB1"/>
    <w:rsid w:val="00A5066C"/>
    <w:rsid w:val="00A50BE2"/>
    <w:rsid w:val="00A511C2"/>
    <w:rsid w:val="00A51801"/>
    <w:rsid w:val="00A52D4F"/>
    <w:rsid w:val="00A60BA6"/>
    <w:rsid w:val="00A633B4"/>
    <w:rsid w:val="00A66742"/>
    <w:rsid w:val="00A6762F"/>
    <w:rsid w:val="00A729EA"/>
    <w:rsid w:val="00A72F45"/>
    <w:rsid w:val="00A752B4"/>
    <w:rsid w:val="00A77553"/>
    <w:rsid w:val="00A7796C"/>
    <w:rsid w:val="00A77B12"/>
    <w:rsid w:val="00A77B2A"/>
    <w:rsid w:val="00A80395"/>
    <w:rsid w:val="00A84603"/>
    <w:rsid w:val="00A848BA"/>
    <w:rsid w:val="00A84B42"/>
    <w:rsid w:val="00A84BE6"/>
    <w:rsid w:val="00A85E21"/>
    <w:rsid w:val="00A92DE4"/>
    <w:rsid w:val="00A95318"/>
    <w:rsid w:val="00A95A1F"/>
    <w:rsid w:val="00AA0F11"/>
    <w:rsid w:val="00AA2399"/>
    <w:rsid w:val="00AA4D44"/>
    <w:rsid w:val="00AA515B"/>
    <w:rsid w:val="00AA63D5"/>
    <w:rsid w:val="00AA6426"/>
    <w:rsid w:val="00AA7394"/>
    <w:rsid w:val="00AB45F0"/>
    <w:rsid w:val="00AB46AA"/>
    <w:rsid w:val="00AB4AFB"/>
    <w:rsid w:val="00AB5D02"/>
    <w:rsid w:val="00AB67C7"/>
    <w:rsid w:val="00AC1077"/>
    <w:rsid w:val="00AC203B"/>
    <w:rsid w:val="00AC416F"/>
    <w:rsid w:val="00AC4C7D"/>
    <w:rsid w:val="00AC5AEB"/>
    <w:rsid w:val="00AC5D13"/>
    <w:rsid w:val="00AC5D1D"/>
    <w:rsid w:val="00AD1106"/>
    <w:rsid w:val="00AD3090"/>
    <w:rsid w:val="00AD3A64"/>
    <w:rsid w:val="00AD5AC2"/>
    <w:rsid w:val="00AE0683"/>
    <w:rsid w:val="00AE2714"/>
    <w:rsid w:val="00AE34CF"/>
    <w:rsid w:val="00AE45FB"/>
    <w:rsid w:val="00AE49B1"/>
    <w:rsid w:val="00AF211C"/>
    <w:rsid w:val="00AF5D12"/>
    <w:rsid w:val="00AF77DE"/>
    <w:rsid w:val="00B00DAA"/>
    <w:rsid w:val="00B01453"/>
    <w:rsid w:val="00B0210D"/>
    <w:rsid w:val="00B02936"/>
    <w:rsid w:val="00B05778"/>
    <w:rsid w:val="00B05E2D"/>
    <w:rsid w:val="00B064FD"/>
    <w:rsid w:val="00B06B57"/>
    <w:rsid w:val="00B0792D"/>
    <w:rsid w:val="00B079A7"/>
    <w:rsid w:val="00B1318D"/>
    <w:rsid w:val="00B15FCC"/>
    <w:rsid w:val="00B1647C"/>
    <w:rsid w:val="00B1795F"/>
    <w:rsid w:val="00B21DDC"/>
    <w:rsid w:val="00B248FC"/>
    <w:rsid w:val="00B24FAC"/>
    <w:rsid w:val="00B3182A"/>
    <w:rsid w:val="00B32798"/>
    <w:rsid w:val="00B3395A"/>
    <w:rsid w:val="00B33989"/>
    <w:rsid w:val="00B352B3"/>
    <w:rsid w:val="00B353DC"/>
    <w:rsid w:val="00B35DA0"/>
    <w:rsid w:val="00B35F7E"/>
    <w:rsid w:val="00B3621F"/>
    <w:rsid w:val="00B377F2"/>
    <w:rsid w:val="00B378FA"/>
    <w:rsid w:val="00B40509"/>
    <w:rsid w:val="00B43E24"/>
    <w:rsid w:val="00B44E55"/>
    <w:rsid w:val="00B51D1F"/>
    <w:rsid w:val="00B533C4"/>
    <w:rsid w:val="00B535C1"/>
    <w:rsid w:val="00B55D54"/>
    <w:rsid w:val="00B56C83"/>
    <w:rsid w:val="00B610AE"/>
    <w:rsid w:val="00B667D5"/>
    <w:rsid w:val="00B71493"/>
    <w:rsid w:val="00B74474"/>
    <w:rsid w:val="00B76603"/>
    <w:rsid w:val="00B76BAC"/>
    <w:rsid w:val="00B77EF9"/>
    <w:rsid w:val="00B77FC2"/>
    <w:rsid w:val="00B85591"/>
    <w:rsid w:val="00B85A2C"/>
    <w:rsid w:val="00B87889"/>
    <w:rsid w:val="00B90CF0"/>
    <w:rsid w:val="00B91701"/>
    <w:rsid w:val="00B920BA"/>
    <w:rsid w:val="00B93178"/>
    <w:rsid w:val="00B933EB"/>
    <w:rsid w:val="00B9478E"/>
    <w:rsid w:val="00B949A1"/>
    <w:rsid w:val="00BA0488"/>
    <w:rsid w:val="00BA06F1"/>
    <w:rsid w:val="00BA23F0"/>
    <w:rsid w:val="00BA2DDD"/>
    <w:rsid w:val="00BA2FD1"/>
    <w:rsid w:val="00BA3928"/>
    <w:rsid w:val="00BA50AF"/>
    <w:rsid w:val="00BA5C92"/>
    <w:rsid w:val="00BA5E9E"/>
    <w:rsid w:val="00BA78C0"/>
    <w:rsid w:val="00BB0BD6"/>
    <w:rsid w:val="00BB2C16"/>
    <w:rsid w:val="00BB3D01"/>
    <w:rsid w:val="00BB425D"/>
    <w:rsid w:val="00BB47FA"/>
    <w:rsid w:val="00BB4C17"/>
    <w:rsid w:val="00BB51E6"/>
    <w:rsid w:val="00BC0F13"/>
    <w:rsid w:val="00BC1D77"/>
    <w:rsid w:val="00BC3766"/>
    <w:rsid w:val="00BC692A"/>
    <w:rsid w:val="00BC712F"/>
    <w:rsid w:val="00BC79C4"/>
    <w:rsid w:val="00BD0D57"/>
    <w:rsid w:val="00BD162C"/>
    <w:rsid w:val="00BD2151"/>
    <w:rsid w:val="00BD351F"/>
    <w:rsid w:val="00BD4037"/>
    <w:rsid w:val="00BD552B"/>
    <w:rsid w:val="00BD58F6"/>
    <w:rsid w:val="00BD6306"/>
    <w:rsid w:val="00BD7E53"/>
    <w:rsid w:val="00BE469B"/>
    <w:rsid w:val="00BE5E7E"/>
    <w:rsid w:val="00BE6D17"/>
    <w:rsid w:val="00BF00E0"/>
    <w:rsid w:val="00BF3632"/>
    <w:rsid w:val="00BF4548"/>
    <w:rsid w:val="00C012A9"/>
    <w:rsid w:val="00C0190E"/>
    <w:rsid w:val="00C023D5"/>
    <w:rsid w:val="00C03E4B"/>
    <w:rsid w:val="00C06022"/>
    <w:rsid w:val="00C07F44"/>
    <w:rsid w:val="00C12E67"/>
    <w:rsid w:val="00C1468F"/>
    <w:rsid w:val="00C15065"/>
    <w:rsid w:val="00C15686"/>
    <w:rsid w:val="00C1771C"/>
    <w:rsid w:val="00C20423"/>
    <w:rsid w:val="00C24A12"/>
    <w:rsid w:val="00C25B70"/>
    <w:rsid w:val="00C327F7"/>
    <w:rsid w:val="00C3282A"/>
    <w:rsid w:val="00C32A8D"/>
    <w:rsid w:val="00C32DC5"/>
    <w:rsid w:val="00C330D6"/>
    <w:rsid w:val="00C34299"/>
    <w:rsid w:val="00C4060B"/>
    <w:rsid w:val="00C41D25"/>
    <w:rsid w:val="00C44605"/>
    <w:rsid w:val="00C4498B"/>
    <w:rsid w:val="00C452F1"/>
    <w:rsid w:val="00C508D2"/>
    <w:rsid w:val="00C51F2A"/>
    <w:rsid w:val="00C52CB6"/>
    <w:rsid w:val="00C5565B"/>
    <w:rsid w:val="00C56129"/>
    <w:rsid w:val="00C57445"/>
    <w:rsid w:val="00C662E1"/>
    <w:rsid w:val="00C669A5"/>
    <w:rsid w:val="00C67AA2"/>
    <w:rsid w:val="00C70769"/>
    <w:rsid w:val="00C70C6F"/>
    <w:rsid w:val="00C72C6F"/>
    <w:rsid w:val="00C7308F"/>
    <w:rsid w:val="00C74135"/>
    <w:rsid w:val="00C76281"/>
    <w:rsid w:val="00C763D5"/>
    <w:rsid w:val="00C76B43"/>
    <w:rsid w:val="00C76E92"/>
    <w:rsid w:val="00C76FAC"/>
    <w:rsid w:val="00C7787B"/>
    <w:rsid w:val="00C77E79"/>
    <w:rsid w:val="00C77E83"/>
    <w:rsid w:val="00C80F27"/>
    <w:rsid w:val="00C80FB4"/>
    <w:rsid w:val="00C82B28"/>
    <w:rsid w:val="00C82D18"/>
    <w:rsid w:val="00C83979"/>
    <w:rsid w:val="00C84132"/>
    <w:rsid w:val="00C8515A"/>
    <w:rsid w:val="00C858DB"/>
    <w:rsid w:val="00C8730C"/>
    <w:rsid w:val="00C876AA"/>
    <w:rsid w:val="00C90DAA"/>
    <w:rsid w:val="00C91387"/>
    <w:rsid w:val="00C91C47"/>
    <w:rsid w:val="00C93507"/>
    <w:rsid w:val="00C93E26"/>
    <w:rsid w:val="00C947D4"/>
    <w:rsid w:val="00C94930"/>
    <w:rsid w:val="00C954B1"/>
    <w:rsid w:val="00C954CB"/>
    <w:rsid w:val="00CA0317"/>
    <w:rsid w:val="00CA0AE9"/>
    <w:rsid w:val="00CA1E1F"/>
    <w:rsid w:val="00CA33A3"/>
    <w:rsid w:val="00CA417B"/>
    <w:rsid w:val="00CA467E"/>
    <w:rsid w:val="00CB4739"/>
    <w:rsid w:val="00CB641A"/>
    <w:rsid w:val="00CC0E5F"/>
    <w:rsid w:val="00CC1BAD"/>
    <w:rsid w:val="00CC36CE"/>
    <w:rsid w:val="00CC4AE6"/>
    <w:rsid w:val="00CC53DE"/>
    <w:rsid w:val="00CC56D8"/>
    <w:rsid w:val="00CC61B0"/>
    <w:rsid w:val="00CC7AAD"/>
    <w:rsid w:val="00CC7F94"/>
    <w:rsid w:val="00CD162E"/>
    <w:rsid w:val="00CD1FDE"/>
    <w:rsid w:val="00CD3064"/>
    <w:rsid w:val="00CD498F"/>
    <w:rsid w:val="00CD7A0B"/>
    <w:rsid w:val="00CD7CE8"/>
    <w:rsid w:val="00CD7F0F"/>
    <w:rsid w:val="00CE12C9"/>
    <w:rsid w:val="00CE19AD"/>
    <w:rsid w:val="00CE342F"/>
    <w:rsid w:val="00CE5A1A"/>
    <w:rsid w:val="00CE5E03"/>
    <w:rsid w:val="00CF1697"/>
    <w:rsid w:val="00CF523D"/>
    <w:rsid w:val="00CF527E"/>
    <w:rsid w:val="00CF75D5"/>
    <w:rsid w:val="00D00002"/>
    <w:rsid w:val="00D002BF"/>
    <w:rsid w:val="00D02148"/>
    <w:rsid w:val="00D03A8F"/>
    <w:rsid w:val="00D04A9D"/>
    <w:rsid w:val="00D062D7"/>
    <w:rsid w:val="00D06885"/>
    <w:rsid w:val="00D06963"/>
    <w:rsid w:val="00D112C9"/>
    <w:rsid w:val="00D1186B"/>
    <w:rsid w:val="00D11D1C"/>
    <w:rsid w:val="00D12001"/>
    <w:rsid w:val="00D12A3A"/>
    <w:rsid w:val="00D12BE9"/>
    <w:rsid w:val="00D1524A"/>
    <w:rsid w:val="00D15975"/>
    <w:rsid w:val="00D16038"/>
    <w:rsid w:val="00D16248"/>
    <w:rsid w:val="00D16D3B"/>
    <w:rsid w:val="00D16ED2"/>
    <w:rsid w:val="00D17AC9"/>
    <w:rsid w:val="00D20243"/>
    <w:rsid w:val="00D20306"/>
    <w:rsid w:val="00D2153D"/>
    <w:rsid w:val="00D22222"/>
    <w:rsid w:val="00D22F03"/>
    <w:rsid w:val="00D3035C"/>
    <w:rsid w:val="00D30DE4"/>
    <w:rsid w:val="00D31691"/>
    <w:rsid w:val="00D336CD"/>
    <w:rsid w:val="00D33B45"/>
    <w:rsid w:val="00D35B4D"/>
    <w:rsid w:val="00D36374"/>
    <w:rsid w:val="00D405E8"/>
    <w:rsid w:val="00D40B84"/>
    <w:rsid w:val="00D43082"/>
    <w:rsid w:val="00D44B44"/>
    <w:rsid w:val="00D4578B"/>
    <w:rsid w:val="00D50201"/>
    <w:rsid w:val="00D53761"/>
    <w:rsid w:val="00D53786"/>
    <w:rsid w:val="00D538E3"/>
    <w:rsid w:val="00D5426F"/>
    <w:rsid w:val="00D54613"/>
    <w:rsid w:val="00D55676"/>
    <w:rsid w:val="00D5760D"/>
    <w:rsid w:val="00D603C5"/>
    <w:rsid w:val="00D61580"/>
    <w:rsid w:val="00D62840"/>
    <w:rsid w:val="00D62984"/>
    <w:rsid w:val="00D63235"/>
    <w:rsid w:val="00D63AD8"/>
    <w:rsid w:val="00D661AD"/>
    <w:rsid w:val="00D6716D"/>
    <w:rsid w:val="00D67E13"/>
    <w:rsid w:val="00D70303"/>
    <w:rsid w:val="00D7178A"/>
    <w:rsid w:val="00D72926"/>
    <w:rsid w:val="00D72D16"/>
    <w:rsid w:val="00D74D37"/>
    <w:rsid w:val="00D75D0D"/>
    <w:rsid w:val="00D75ED0"/>
    <w:rsid w:val="00D77441"/>
    <w:rsid w:val="00D81110"/>
    <w:rsid w:val="00D83573"/>
    <w:rsid w:val="00D8657C"/>
    <w:rsid w:val="00D86AAE"/>
    <w:rsid w:val="00D86F13"/>
    <w:rsid w:val="00D87870"/>
    <w:rsid w:val="00D90076"/>
    <w:rsid w:val="00D94033"/>
    <w:rsid w:val="00D954E8"/>
    <w:rsid w:val="00D956EB"/>
    <w:rsid w:val="00D959FA"/>
    <w:rsid w:val="00D96AFD"/>
    <w:rsid w:val="00DA0597"/>
    <w:rsid w:val="00DA4FC7"/>
    <w:rsid w:val="00DA5F41"/>
    <w:rsid w:val="00DB0866"/>
    <w:rsid w:val="00DB0A06"/>
    <w:rsid w:val="00DB10B5"/>
    <w:rsid w:val="00DB2DB9"/>
    <w:rsid w:val="00DB2FFD"/>
    <w:rsid w:val="00DB4481"/>
    <w:rsid w:val="00DB5466"/>
    <w:rsid w:val="00DB6613"/>
    <w:rsid w:val="00DC05A1"/>
    <w:rsid w:val="00DC095D"/>
    <w:rsid w:val="00DC17F9"/>
    <w:rsid w:val="00DC1A40"/>
    <w:rsid w:val="00DC377E"/>
    <w:rsid w:val="00DC4703"/>
    <w:rsid w:val="00DC52F3"/>
    <w:rsid w:val="00DC6943"/>
    <w:rsid w:val="00DD0C87"/>
    <w:rsid w:val="00DD2FA2"/>
    <w:rsid w:val="00DD4515"/>
    <w:rsid w:val="00DD4A8A"/>
    <w:rsid w:val="00DD4EBE"/>
    <w:rsid w:val="00DD6B39"/>
    <w:rsid w:val="00DD6CF6"/>
    <w:rsid w:val="00DD7145"/>
    <w:rsid w:val="00DE29AD"/>
    <w:rsid w:val="00DE3076"/>
    <w:rsid w:val="00DE381D"/>
    <w:rsid w:val="00DE3EBD"/>
    <w:rsid w:val="00DE40FE"/>
    <w:rsid w:val="00DE4DA8"/>
    <w:rsid w:val="00DE56A4"/>
    <w:rsid w:val="00DE5EC7"/>
    <w:rsid w:val="00DE639D"/>
    <w:rsid w:val="00DE6F60"/>
    <w:rsid w:val="00DE7C03"/>
    <w:rsid w:val="00DF0439"/>
    <w:rsid w:val="00DF41A4"/>
    <w:rsid w:val="00DF5BC5"/>
    <w:rsid w:val="00DF7299"/>
    <w:rsid w:val="00DF7B32"/>
    <w:rsid w:val="00E01365"/>
    <w:rsid w:val="00E0316A"/>
    <w:rsid w:val="00E109BB"/>
    <w:rsid w:val="00E132CC"/>
    <w:rsid w:val="00E174B3"/>
    <w:rsid w:val="00E2675C"/>
    <w:rsid w:val="00E2798F"/>
    <w:rsid w:val="00E27F92"/>
    <w:rsid w:val="00E3092A"/>
    <w:rsid w:val="00E3115B"/>
    <w:rsid w:val="00E31C1F"/>
    <w:rsid w:val="00E35B47"/>
    <w:rsid w:val="00E36107"/>
    <w:rsid w:val="00E37CAD"/>
    <w:rsid w:val="00E40498"/>
    <w:rsid w:val="00E40739"/>
    <w:rsid w:val="00E414E3"/>
    <w:rsid w:val="00E43C95"/>
    <w:rsid w:val="00E44806"/>
    <w:rsid w:val="00E449D6"/>
    <w:rsid w:val="00E45677"/>
    <w:rsid w:val="00E45F33"/>
    <w:rsid w:val="00E47EF3"/>
    <w:rsid w:val="00E51B93"/>
    <w:rsid w:val="00E55002"/>
    <w:rsid w:val="00E56517"/>
    <w:rsid w:val="00E57CC3"/>
    <w:rsid w:val="00E630FA"/>
    <w:rsid w:val="00E64F01"/>
    <w:rsid w:val="00E662E7"/>
    <w:rsid w:val="00E66495"/>
    <w:rsid w:val="00E6651B"/>
    <w:rsid w:val="00E66ADD"/>
    <w:rsid w:val="00E67E1C"/>
    <w:rsid w:val="00E7139A"/>
    <w:rsid w:val="00E72B26"/>
    <w:rsid w:val="00E72BD7"/>
    <w:rsid w:val="00E72E8B"/>
    <w:rsid w:val="00E7382C"/>
    <w:rsid w:val="00E744A2"/>
    <w:rsid w:val="00E7458C"/>
    <w:rsid w:val="00E77169"/>
    <w:rsid w:val="00E7741F"/>
    <w:rsid w:val="00E81D54"/>
    <w:rsid w:val="00E82906"/>
    <w:rsid w:val="00E84354"/>
    <w:rsid w:val="00E85D82"/>
    <w:rsid w:val="00E875DA"/>
    <w:rsid w:val="00E90DC1"/>
    <w:rsid w:val="00E90F97"/>
    <w:rsid w:val="00E9290C"/>
    <w:rsid w:val="00E92F60"/>
    <w:rsid w:val="00E93353"/>
    <w:rsid w:val="00E93C05"/>
    <w:rsid w:val="00E94497"/>
    <w:rsid w:val="00E970FD"/>
    <w:rsid w:val="00EA2E1D"/>
    <w:rsid w:val="00EA4F02"/>
    <w:rsid w:val="00EA5F32"/>
    <w:rsid w:val="00EA6867"/>
    <w:rsid w:val="00EA6CB4"/>
    <w:rsid w:val="00EA6EB8"/>
    <w:rsid w:val="00EB1CAA"/>
    <w:rsid w:val="00EB3DAB"/>
    <w:rsid w:val="00EB47AF"/>
    <w:rsid w:val="00EB667C"/>
    <w:rsid w:val="00EC1924"/>
    <w:rsid w:val="00EC1AD0"/>
    <w:rsid w:val="00EC1E9A"/>
    <w:rsid w:val="00EC24BC"/>
    <w:rsid w:val="00EC2E7C"/>
    <w:rsid w:val="00EC4435"/>
    <w:rsid w:val="00EC53CE"/>
    <w:rsid w:val="00EC6E16"/>
    <w:rsid w:val="00ED0BB4"/>
    <w:rsid w:val="00ED0D99"/>
    <w:rsid w:val="00ED164C"/>
    <w:rsid w:val="00ED20F5"/>
    <w:rsid w:val="00ED234B"/>
    <w:rsid w:val="00ED40A5"/>
    <w:rsid w:val="00ED66A6"/>
    <w:rsid w:val="00EE1623"/>
    <w:rsid w:val="00EE18FE"/>
    <w:rsid w:val="00EE2034"/>
    <w:rsid w:val="00EE2075"/>
    <w:rsid w:val="00EE35E0"/>
    <w:rsid w:val="00EE6B6C"/>
    <w:rsid w:val="00EF0D96"/>
    <w:rsid w:val="00EF25B9"/>
    <w:rsid w:val="00EF29E2"/>
    <w:rsid w:val="00EF2C3F"/>
    <w:rsid w:val="00EF5BC2"/>
    <w:rsid w:val="00EF691B"/>
    <w:rsid w:val="00EF77AE"/>
    <w:rsid w:val="00F0061F"/>
    <w:rsid w:val="00F0077A"/>
    <w:rsid w:val="00F00B23"/>
    <w:rsid w:val="00F03710"/>
    <w:rsid w:val="00F050B2"/>
    <w:rsid w:val="00F0561D"/>
    <w:rsid w:val="00F1038E"/>
    <w:rsid w:val="00F11A11"/>
    <w:rsid w:val="00F13C59"/>
    <w:rsid w:val="00F14A30"/>
    <w:rsid w:val="00F163D9"/>
    <w:rsid w:val="00F1700C"/>
    <w:rsid w:val="00F1790B"/>
    <w:rsid w:val="00F17F48"/>
    <w:rsid w:val="00F21BAE"/>
    <w:rsid w:val="00F23282"/>
    <w:rsid w:val="00F23635"/>
    <w:rsid w:val="00F2727C"/>
    <w:rsid w:val="00F32182"/>
    <w:rsid w:val="00F32592"/>
    <w:rsid w:val="00F33E43"/>
    <w:rsid w:val="00F34E42"/>
    <w:rsid w:val="00F35ADD"/>
    <w:rsid w:val="00F376DA"/>
    <w:rsid w:val="00F409D3"/>
    <w:rsid w:val="00F44C25"/>
    <w:rsid w:val="00F454BF"/>
    <w:rsid w:val="00F457A5"/>
    <w:rsid w:val="00F45E9F"/>
    <w:rsid w:val="00F462C8"/>
    <w:rsid w:val="00F47B62"/>
    <w:rsid w:val="00F51188"/>
    <w:rsid w:val="00F513A9"/>
    <w:rsid w:val="00F519C5"/>
    <w:rsid w:val="00F51B4B"/>
    <w:rsid w:val="00F5371D"/>
    <w:rsid w:val="00F53BEF"/>
    <w:rsid w:val="00F57FE4"/>
    <w:rsid w:val="00F623E3"/>
    <w:rsid w:val="00F62695"/>
    <w:rsid w:val="00F6426A"/>
    <w:rsid w:val="00F656F5"/>
    <w:rsid w:val="00F67BBA"/>
    <w:rsid w:val="00F706B0"/>
    <w:rsid w:val="00F73D97"/>
    <w:rsid w:val="00F759E4"/>
    <w:rsid w:val="00F76C41"/>
    <w:rsid w:val="00F77A05"/>
    <w:rsid w:val="00F81BFA"/>
    <w:rsid w:val="00F83829"/>
    <w:rsid w:val="00F83F9A"/>
    <w:rsid w:val="00F8549B"/>
    <w:rsid w:val="00F872D2"/>
    <w:rsid w:val="00F9246C"/>
    <w:rsid w:val="00F9305A"/>
    <w:rsid w:val="00F93D75"/>
    <w:rsid w:val="00F9441B"/>
    <w:rsid w:val="00F94738"/>
    <w:rsid w:val="00F9606B"/>
    <w:rsid w:val="00F964BC"/>
    <w:rsid w:val="00FA032F"/>
    <w:rsid w:val="00FA7F3E"/>
    <w:rsid w:val="00FB0958"/>
    <w:rsid w:val="00FB0CF4"/>
    <w:rsid w:val="00FB0FDB"/>
    <w:rsid w:val="00FB1E26"/>
    <w:rsid w:val="00FB1FA6"/>
    <w:rsid w:val="00FB35A1"/>
    <w:rsid w:val="00FB39B7"/>
    <w:rsid w:val="00FB5324"/>
    <w:rsid w:val="00FB740D"/>
    <w:rsid w:val="00FC07F7"/>
    <w:rsid w:val="00FC2783"/>
    <w:rsid w:val="00FC48B5"/>
    <w:rsid w:val="00FC4C92"/>
    <w:rsid w:val="00FC4E79"/>
    <w:rsid w:val="00FC5EC1"/>
    <w:rsid w:val="00FC6345"/>
    <w:rsid w:val="00FC6437"/>
    <w:rsid w:val="00FC6D8F"/>
    <w:rsid w:val="00FC7054"/>
    <w:rsid w:val="00FC78D5"/>
    <w:rsid w:val="00FC7DE3"/>
    <w:rsid w:val="00FC7F25"/>
    <w:rsid w:val="00FD2661"/>
    <w:rsid w:val="00FD56C9"/>
    <w:rsid w:val="00FE075D"/>
    <w:rsid w:val="00FE3077"/>
    <w:rsid w:val="00FE6932"/>
    <w:rsid w:val="00FF000F"/>
    <w:rsid w:val="00FF06BE"/>
    <w:rsid w:val="00FF50D5"/>
    <w:rsid w:val="00FF6963"/>
    <w:rsid w:val="00FF7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303E14B0"/>
  <w15:docId w15:val="{99821376-DF49-42D8-82E9-7FD99B11BD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48689A"/>
    <w:rPr>
      <w:rFonts w:ascii="Times New Roman" w:hAnsi="Times New Roman"/>
    </w:rPr>
  </w:style>
  <w:style w:type="paragraph" w:styleId="Heading1">
    <w:name w:val="heading 1"/>
    <w:basedOn w:val="Normal"/>
    <w:next w:val="Normal"/>
    <w:link w:val="Heading1Char"/>
    <w:uiPriority w:val="9"/>
    <w:qFormat/>
    <w:rsid w:val="00196516"/>
    <w:pPr>
      <w:keepNext/>
      <w:keepLines/>
      <w:numPr>
        <w:numId w:val="1"/>
      </w:numPr>
      <w:spacing w:before="480" w:after="120"/>
      <w:outlineLvl w:val="0"/>
    </w:pPr>
    <w:rPr>
      <w:rFonts w:ascii="Arial" w:eastAsiaTheme="majorEastAsia" w:hAnsi="Arial" w:cstheme="majorBidi"/>
      <w:b/>
      <w:bCs/>
      <w:sz w:val="28"/>
      <w:szCs w:val="28"/>
    </w:rPr>
  </w:style>
  <w:style w:type="paragraph" w:styleId="Heading2">
    <w:name w:val="heading 2"/>
    <w:basedOn w:val="Normal"/>
    <w:next w:val="Normal"/>
    <w:link w:val="Heading2Char"/>
    <w:uiPriority w:val="9"/>
    <w:unhideWhenUsed/>
    <w:qFormat/>
    <w:rsid w:val="00196516"/>
    <w:pPr>
      <w:keepNext/>
      <w:keepLines/>
      <w:numPr>
        <w:numId w:val="13"/>
      </w:numPr>
      <w:spacing w:before="200" w:after="120"/>
      <w:outlineLvl w:val="1"/>
    </w:pPr>
    <w:rPr>
      <w:rFonts w:ascii="Arial" w:eastAsiaTheme="majorEastAsia" w:hAnsi="Arial" w:cstheme="majorBidi"/>
      <w:b/>
      <w:bCs/>
      <w:szCs w:val="26"/>
    </w:rPr>
  </w:style>
  <w:style w:type="paragraph" w:styleId="Heading3">
    <w:name w:val="heading 3"/>
    <w:basedOn w:val="Normal"/>
    <w:next w:val="Normal"/>
    <w:link w:val="Heading3Char"/>
    <w:uiPriority w:val="9"/>
    <w:unhideWhenUsed/>
    <w:qFormat/>
    <w:rsid w:val="00196516"/>
    <w:pPr>
      <w:keepNext/>
      <w:keepLines/>
      <w:numPr>
        <w:numId w:val="11"/>
      </w:numPr>
      <w:spacing w:before="200" w:after="120"/>
      <w:outlineLvl w:val="2"/>
    </w:pPr>
    <w:rPr>
      <w:rFonts w:ascii="Arial" w:eastAsiaTheme="majorEastAsia" w:hAnsi="Arial" w:cstheme="majorBidi"/>
      <w:b/>
      <w:bCs/>
    </w:rPr>
  </w:style>
  <w:style w:type="paragraph" w:styleId="Heading4">
    <w:name w:val="heading 4"/>
    <w:basedOn w:val="Normal"/>
    <w:next w:val="Normal"/>
    <w:link w:val="Heading4Char"/>
    <w:autoRedefine/>
    <w:uiPriority w:val="9"/>
    <w:unhideWhenUsed/>
    <w:qFormat/>
    <w:rsid w:val="00087E00"/>
    <w:pPr>
      <w:keepNext/>
      <w:keepLines/>
      <w:numPr>
        <w:numId w:val="21"/>
      </w:numPr>
      <w:spacing w:before="200" w:after="120"/>
      <w:outlineLvl w:val="3"/>
    </w:pPr>
    <w:rPr>
      <w:rFonts w:ascii="Arial" w:eastAsiaTheme="majorEastAsia" w:hAnsi="Arial" w:cstheme="majorBidi"/>
      <w:b/>
      <w:bCs/>
      <w:iCs/>
      <w:lang w:val="en"/>
    </w:rPr>
  </w:style>
  <w:style w:type="paragraph" w:styleId="Heading5">
    <w:name w:val="heading 5"/>
    <w:basedOn w:val="Normal"/>
    <w:next w:val="Normal"/>
    <w:link w:val="Heading5Char"/>
    <w:uiPriority w:val="9"/>
    <w:unhideWhenUsed/>
    <w:qFormat/>
    <w:rsid w:val="00352C95"/>
    <w:pPr>
      <w:keepNext/>
      <w:keepLines/>
      <w:numPr>
        <w:numId w:val="10"/>
      </w:numPr>
      <w:spacing w:before="200" w:after="0"/>
      <w:outlineLvl w:val="4"/>
    </w:pPr>
    <w:rPr>
      <w:rFonts w:ascii="Arial" w:eastAsiaTheme="majorEastAsia" w:hAnsi="Arial" w:cstheme="majorBidi"/>
      <w:b/>
    </w:rPr>
  </w:style>
  <w:style w:type="paragraph" w:styleId="Heading6">
    <w:name w:val="heading 6"/>
    <w:basedOn w:val="Normal"/>
    <w:next w:val="Normal"/>
    <w:link w:val="Heading6Char"/>
    <w:uiPriority w:val="9"/>
    <w:semiHidden/>
    <w:unhideWhenUsed/>
    <w:qFormat/>
    <w:rsid w:val="005F2069"/>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5F206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5F2069"/>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5F206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3839BA"/>
    <w:rPr>
      <w:sz w:val="16"/>
      <w:szCs w:val="16"/>
    </w:rPr>
  </w:style>
  <w:style w:type="paragraph" w:styleId="CommentText">
    <w:name w:val="annotation text"/>
    <w:basedOn w:val="Normal"/>
    <w:link w:val="CommentTextChar"/>
    <w:uiPriority w:val="99"/>
    <w:semiHidden/>
    <w:unhideWhenUsed/>
    <w:rsid w:val="003839BA"/>
    <w:pPr>
      <w:spacing w:line="240" w:lineRule="auto"/>
    </w:pPr>
    <w:rPr>
      <w:sz w:val="20"/>
      <w:szCs w:val="20"/>
    </w:rPr>
  </w:style>
  <w:style w:type="character" w:customStyle="1" w:styleId="CommentTextChar">
    <w:name w:val="Comment Text Char"/>
    <w:basedOn w:val="DefaultParagraphFont"/>
    <w:link w:val="CommentText"/>
    <w:uiPriority w:val="99"/>
    <w:semiHidden/>
    <w:rsid w:val="003839BA"/>
    <w:rPr>
      <w:sz w:val="20"/>
      <w:szCs w:val="20"/>
    </w:rPr>
  </w:style>
  <w:style w:type="paragraph" w:styleId="CommentSubject">
    <w:name w:val="annotation subject"/>
    <w:basedOn w:val="CommentText"/>
    <w:next w:val="CommentText"/>
    <w:link w:val="CommentSubjectChar"/>
    <w:uiPriority w:val="99"/>
    <w:semiHidden/>
    <w:unhideWhenUsed/>
    <w:rsid w:val="003839BA"/>
    <w:rPr>
      <w:b/>
      <w:bCs/>
    </w:rPr>
  </w:style>
  <w:style w:type="character" w:customStyle="1" w:styleId="CommentSubjectChar">
    <w:name w:val="Comment Subject Char"/>
    <w:basedOn w:val="CommentTextChar"/>
    <w:link w:val="CommentSubject"/>
    <w:uiPriority w:val="99"/>
    <w:semiHidden/>
    <w:rsid w:val="003839BA"/>
    <w:rPr>
      <w:b/>
      <w:bCs/>
      <w:sz w:val="20"/>
      <w:szCs w:val="20"/>
    </w:rPr>
  </w:style>
  <w:style w:type="paragraph" w:styleId="BalloonText">
    <w:name w:val="Balloon Text"/>
    <w:basedOn w:val="Normal"/>
    <w:link w:val="BalloonTextChar"/>
    <w:uiPriority w:val="99"/>
    <w:semiHidden/>
    <w:unhideWhenUsed/>
    <w:rsid w:val="003839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9BA"/>
    <w:rPr>
      <w:rFonts w:ascii="Tahoma" w:hAnsi="Tahoma" w:cs="Tahoma"/>
      <w:sz w:val="16"/>
      <w:szCs w:val="16"/>
    </w:rPr>
  </w:style>
  <w:style w:type="character" w:customStyle="1" w:styleId="Heading1Char">
    <w:name w:val="Heading 1 Char"/>
    <w:basedOn w:val="DefaultParagraphFont"/>
    <w:link w:val="Heading1"/>
    <w:uiPriority w:val="9"/>
    <w:rsid w:val="00196516"/>
    <w:rPr>
      <w:rFonts w:ascii="Arial" w:eastAsiaTheme="majorEastAsia" w:hAnsi="Arial" w:cstheme="majorBidi"/>
      <w:b/>
      <w:bCs/>
      <w:sz w:val="28"/>
      <w:szCs w:val="28"/>
    </w:rPr>
  </w:style>
  <w:style w:type="paragraph" w:styleId="ListParagraph">
    <w:name w:val="List Paragraph"/>
    <w:basedOn w:val="Normal"/>
    <w:uiPriority w:val="34"/>
    <w:qFormat/>
    <w:rsid w:val="00446FF5"/>
    <w:pPr>
      <w:ind w:left="720"/>
      <w:contextualSpacing/>
    </w:pPr>
  </w:style>
  <w:style w:type="character" w:customStyle="1" w:styleId="Heading2Char">
    <w:name w:val="Heading 2 Char"/>
    <w:basedOn w:val="DefaultParagraphFont"/>
    <w:link w:val="Heading2"/>
    <w:uiPriority w:val="9"/>
    <w:rsid w:val="00196516"/>
    <w:rPr>
      <w:rFonts w:ascii="Arial" w:eastAsiaTheme="majorEastAsia" w:hAnsi="Arial" w:cstheme="majorBidi"/>
      <w:b/>
      <w:bCs/>
      <w:szCs w:val="26"/>
    </w:rPr>
  </w:style>
  <w:style w:type="paragraph" w:styleId="NoSpacing">
    <w:name w:val="No Spacing"/>
    <w:basedOn w:val="Heading3"/>
    <w:link w:val="NoSpacingChar"/>
    <w:uiPriority w:val="1"/>
    <w:qFormat/>
    <w:rsid w:val="00A14EBF"/>
    <w:pPr>
      <w:keepNext w:val="0"/>
      <w:keepLines w:val="0"/>
      <w:spacing w:before="0" w:after="200"/>
    </w:pPr>
    <w:rPr>
      <w:rFonts w:ascii="Times New Roman" w:eastAsiaTheme="minorHAnsi" w:hAnsi="Times New Roman" w:cs="Times New Roman"/>
      <w:bCs w:val="0"/>
    </w:rPr>
  </w:style>
  <w:style w:type="character" w:customStyle="1" w:styleId="Heading3Char">
    <w:name w:val="Heading 3 Char"/>
    <w:basedOn w:val="DefaultParagraphFont"/>
    <w:link w:val="Heading3"/>
    <w:uiPriority w:val="9"/>
    <w:rsid w:val="00196516"/>
    <w:rPr>
      <w:rFonts w:ascii="Arial" w:eastAsiaTheme="majorEastAsia" w:hAnsi="Arial" w:cstheme="majorBidi"/>
      <w:b/>
      <w:bCs/>
    </w:rPr>
  </w:style>
  <w:style w:type="table" w:styleId="TableGrid">
    <w:name w:val="Table Grid"/>
    <w:basedOn w:val="TableNormal"/>
    <w:uiPriority w:val="59"/>
    <w:rsid w:val="00EA5F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TableofFigures"/>
    <w:next w:val="Normal"/>
    <w:uiPriority w:val="35"/>
    <w:unhideWhenUsed/>
    <w:qFormat/>
    <w:rsid w:val="002A48B2"/>
    <w:pPr>
      <w:keepNext/>
      <w:spacing w:line="240" w:lineRule="auto"/>
    </w:pPr>
    <w:rPr>
      <w:rFonts w:ascii="Arial" w:hAnsi="Arial"/>
      <w:b/>
      <w:iCs/>
      <w:color w:val="00B050"/>
      <w:szCs w:val="18"/>
    </w:rPr>
  </w:style>
  <w:style w:type="paragraph" w:customStyle="1" w:styleId="Default">
    <w:name w:val="Default"/>
    <w:rsid w:val="007C64F9"/>
    <w:pPr>
      <w:autoSpaceDE w:val="0"/>
      <w:autoSpaceDN w:val="0"/>
      <w:adjustRightInd w:val="0"/>
      <w:spacing w:after="0" w:line="240" w:lineRule="auto"/>
    </w:pPr>
    <w:rPr>
      <w:rFonts w:ascii="Times New Roman" w:hAnsi="Times New Roman" w:cs="Times New Roman"/>
      <w:color w:val="000000"/>
      <w:sz w:val="24"/>
      <w:szCs w:val="24"/>
    </w:rPr>
  </w:style>
  <w:style w:type="paragraph" w:styleId="Title">
    <w:name w:val="Title"/>
    <w:basedOn w:val="Normal"/>
    <w:next w:val="Normal"/>
    <w:link w:val="TitleChar"/>
    <w:uiPriority w:val="10"/>
    <w:qFormat/>
    <w:rsid w:val="00196516"/>
    <w:pPr>
      <w:pBdr>
        <w:bottom w:val="single" w:sz="8" w:space="4" w:color="4F81BD" w:themeColor="accent1"/>
      </w:pBdr>
      <w:spacing w:after="300" w:line="240" w:lineRule="auto"/>
      <w:contextualSpacing/>
    </w:pPr>
    <w:rPr>
      <w:rFonts w:ascii="Arial" w:eastAsiaTheme="majorEastAsia" w:hAnsi="Arial" w:cstheme="majorBidi"/>
      <w:b/>
      <w:spacing w:val="5"/>
      <w:kern w:val="28"/>
      <w:sz w:val="32"/>
      <w:szCs w:val="52"/>
    </w:rPr>
  </w:style>
  <w:style w:type="character" w:customStyle="1" w:styleId="TitleChar">
    <w:name w:val="Title Char"/>
    <w:basedOn w:val="DefaultParagraphFont"/>
    <w:link w:val="Title"/>
    <w:uiPriority w:val="10"/>
    <w:rsid w:val="00196516"/>
    <w:rPr>
      <w:rFonts w:ascii="Arial" w:eastAsiaTheme="majorEastAsia" w:hAnsi="Arial" w:cstheme="majorBidi"/>
      <w:b/>
      <w:spacing w:val="5"/>
      <w:kern w:val="28"/>
      <w:sz w:val="32"/>
      <w:szCs w:val="52"/>
    </w:rPr>
  </w:style>
  <w:style w:type="character" w:customStyle="1" w:styleId="Heading4Char">
    <w:name w:val="Heading 4 Char"/>
    <w:basedOn w:val="DefaultParagraphFont"/>
    <w:link w:val="Heading4"/>
    <w:uiPriority w:val="9"/>
    <w:rsid w:val="00087E00"/>
    <w:rPr>
      <w:rFonts w:ascii="Arial" w:eastAsiaTheme="majorEastAsia" w:hAnsi="Arial" w:cstheme="majorBidi"/>
      <w:b/>
      <w:bCs/>
      <w:iCs/>
      <w:lang w:val="en"/>
    </w:rPr>
  </w:style>
  <w:style w:type="character" w:customStyle="1" w:styleId="Heading5Char">
    <w:name w:val="Heading 5 Char"/>
    <w:basedOn w:val="DefaultParagraphFont"/>
    <w:link w:val="Heading5"/>
    <w:uiPriority w:val="9"/>
    <w:rsid w:val="00352C95"/>
    <w:rPr>
      <w:rFonts w:ascii="Arial" w:eastAsiaTheme="majorEastAsia" w:hAnsi="Arial" w:cstheme="majorBidi"/>
      <w:b/>
    </w:rPr>
  </w:style>
  <w:style w:type="paragraph" w:styleId="Header">
    <w:name w:val="header"/>
    <w:basedOn w:val="Normal"/>
    <w:link w:val="HeaderChar"/>
    <w:uiPriority w:val="99"/>
    <w:unhideWhenUsed/>
    <w:rsid w:val="00FF06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06BE"/>
  </w:style>
  <w:style w:type="paragraph" w:styleId="Footer">
    <w:name w:val="footer"/>
    <w:basedOn w:val="Normal"/>
    <w:link w:val="FooterChar"/>
    <w:uiPriority w:val="99"/>
    <w:unhideWhenUsed/>
    <w:rsid w:val="00FF06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06BE"/>
  </w:style>
  <w:style w:type="character" w:customStyle="1" w:styleId="Heading6Char">
    <w:name w:val="Heading 6 Char"/>
    <w:basedOn w:val="DefaultParagraphFont"/>
    <w:link w:val="Heading6"/>
    <w:uiPriority w:val="9"/>
    <w:semiHidden/>
    <w:rsid w:val="005F2069"/>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5F206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5F206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5F2069"/>
    <w:rPr>
      <w:rFonts w:asciiTheme="majorHAnsi" w:eastAsiaTheme="majorEastAsia" w:hAnsiTheme="majorHAnsi" w:cstheme="majorBidi"/>
      <w:i/>
      <w:iCs/>
      <w:color w:val="404040" w:themeColor="text1" w:themeTint="BF"/>
      <w:sz w:val="20"/>
      <w:szCs w:val="20"/>
    </w:rPr>
  </w:style>
  <w:style w:type="table" w:customStyle="1" w:styleId="TableGrid1">
    <w:name w:val="Table Grid1"/>
    <w:basedOn w:val="TableNormal"/>
    <w:next w:val="TableGrid"/>
    <w:uiPriority w:val="39"/>
    <w:rsid w:val="003321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A0535E"/>
    <w:pPr>
      <w:numPr>
        <w:numId w:val="0"/>
      </w:numPr>
      <w:spacing w:after="0"/>
      <w:outlineLvl w:val="9"/>
    </w:pPr>
    <w:rPr>
      <w:rFonts w:asciiTheme="majorHAnsi" w:hAnsiTheme="majorHAnsi"/>
      <w:color w:val="365F91" w:themeColor="accent1" w:themeShade="BF"/>
      <w:lang w:eastAsia="ja-JP"/>
    </w:rPr>
  </w:style>
  <w:style w:type="paragraph" w:styleId="TOC1">
    <w:name w:val="toc 1"/>
    <w:basedOn w:val="Normal"/>
    <w:next w:val="Normal"/>
    <w:autoRedefine/>
    <w:uiPriority w:val="39"/>
    <w:unhideWhenUsed/>
    <w:rsid w:val="00A0535E"/>
    <w:pPr>
      <w:spacing w:after="100"/>
    </w:pPr>
  </w:style>
  <w:style w:type="paragraph" w:styleId="TOC2">
    <w:name w:val="toc 2"/>
    <w:basedOn w:val="Normal"/>
    <w:next w:val="Normal"/>
    <w:autoRedefine/>
    <w:uiPriority w:val="39"/>
    <w:unhideWhenUsed/>
    <w:rsid w:val="00A0535E"/>
    <w:pPr>
      <w:spacing w:after="100"/>
      <w:ind w:left="220"/>
    </w:pPr>
  </w:style>
  <w:style w:type="paragraph" w:styleId="TOC3">
    <w:name w:val="toc 3"/>
    <w:basedOn w:val="Normal"/>
    <w:next w:val="Normal"/>
    <w:autoRedefine/>
    <w:uiPriority w:val="39"/>
    <w:unhideWhenUsed/>
    <w:rsid w:val="00A0535E"/>
    <w:pPr>
      <w:spacing w:after="100"/>
      <w:ind w:left="440"/>
    </w:pPr>
  </w:style>
  <w:style w:type="character" w:styleId="Hyperlink">
    <w:name w:val="Hyperlink"/>
    <w:basedOn w:val="DefaultParagraphFont"/>
    <w:uiPriority w:val="99"/>
    <w:unhideWhenUsed/>
    <w:rsid w:val="00A0535E"/>
    <w:rPr>
      <w:color w:val="0000FF" w:themeColor="hyperlink"/>
      <w:u w:val="single"/>
    </w:rPr>
  </w:style>
  <w:style w:type="character" w:styleId="BookTitle">
    <w:name w:val="Book Title"/>
    <w:basedOn w:val="DefaultParagraphFont"/>
    <w:uiPriority w:val="33"/>
    <w:qFormat/>
    <w:rsid w:val="0010518A"/>
    <w:rPr>
      <w:b/>
      <w:bCs/>
      <w:smallCaps/>
      <w:spacing w:val="5"/>
    </w:rPr>
  </w:style>
  <w:style w:type="character" w:customStyle="1" w:styleId="NoSpacingChar">
    <w:name w:val="No Spacing Char"/>
    <w:basedOn w:val="DefaultParagraphFont"/>
    <w:link w:val="NoSpacing"/>
    <w:uiPriority w:val="1"/>
    <w:rsid w:val="00C83979"/>
    <w:rPr>
      <w:rFonts w:ascii="Times New Roman" w:hAnsi="Times New Roman" w:cs="Times New Roman"/>
      <w:b/>
    </w:rPr>
  </w:style>
  <w:style w:type="paragraph" w:styleId="TOC4">
    <w:name w:val="toc 4"/>
    <w:basedOn w:val="Normal"/>
    <w:next w:val="Normal"/>
    <w:autoRedefine/>
    <w:uiPriority w:val="39"/>
    <w:unhideWhenUsed/>
    <w:rsid w:val="00FB0FDB"/>
    <w:pPr>
      <w:spacing w:after="100"/>
      <w:ind w:left="660"/>
    </w:pPr>
  </w:style>
  <w:style w:type="paragraph" w:styleId="TableofFigures">
    <w:name w:val="table of figures"/>
    <w:basedOn w:val="Normal"/>
    <w:next w:val="Normal"/>
    <w:uiPriority w:val="99"/>
    <w:unhideWhenUsed/>
    <w:rsid w:val="00F81BFA"/>
    <w:pPr>
      <w:spacing w:after="0"/>
    </w:pPr>
  </w:style>
  <w:style w:type="paragraph" w:styleId="FootnoteText">
    <w:name w:val="footnote text"/>
    <w:basedOn w:val="Normal"/>
    <w:link w:val="FootnoteTextChar"/>
    <w:uiPriority w:val="99"/>
    <w:unhideWhenUsed/>
    <w:rsid w:val="00F33E43"/>
    <w:pPr>
      <w:spacing w:after="0" w:line="240" w:lineRule="auto"/>
    </w:pPr>
    <w:rPr>
      <w:sz w:val="20"/>
      <w:szCs w:val="20"/>
    </w:rPr>
  </w:style>
  <w:style w:type="character" w:customStyle="1" w:styleId="FootnoteTextChar">
    <w:name w:val="Footnote Text Char"/>
    <w:basedOn w:val="DefaultParagraphFont"/>
    <w:link w:val="FootnoteText"/>
    <w:uiPriority w:val="99"/>
    <w:rsid w:val="00F33E43"/>
    <w:rPr>
      <w:rFonts w:ascii="Times New Roman" w:hAnsi="Times New Roman"/>
      <w:sz w:val="20"/>
      <w:szCs w:val="20"/>
    </w:rPr>
  </w:style>
  <w:style w:type="character" w:styleId="FootnoteReference">
    <w:name w:val="footnote reference"/>
    <w:basedOn w:val="DefaultParagraphFont"/>
    <w:uiPriority w:val="99"/>
    <w:unhideWhenUsed/>
    <w:rsid w:val="00F33E43"/>
    <w:rPr>
      <w:vertAlign w:val="superscript"/>
    </w:rPr>
  </w:style>
  <w:style w:type="paragraph" w:styleId="Revision">
    <w:name w:val="Revision"/>
    <w:hidden/>
    <w:uiPriority w:val="99"/>
    <w:semiHidden/>
    <w:rsid w:val="00C77E79"/>
    <w:pPr>
      <w:spacing w:after="0" w:line="240" w:lineRule="auto"/>
    </w:pPr>
    <w:rPr>
      <w:rFonts w:ascii="Times New Roman" w:hAnsi="Times New Roman"/>
    </w:rPr>
  </w:style>
  <w:style w:type="character" w:customStyle="1" w:styleId="il">
    <w:name w:val="il"/>
    <w:basedOn w:val="DefaultParagraphFont"/>
    <w:rsid w:val="00F53BEF"/>
  </w:style>
  <w:style w:type="table" w:styleId="GridTable1Light">
    <w:name w:val="Grid Table 1 Light"/>
    <w:basedOn w:val="TableNormal"/>
    <w:uiPriority w:val="46"/>
    <w:rsid w:val="00606A9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UnresolvedMention1">
    <w:name w:val="Unresolved Mention1"/>
    <w:basedOn w:val="DefaultParagraphFont"/>
    <w:uiPriority w:val="99"/>
    <w:semiHidden/>
    <w:unhideWhenUsed/>
    <w:rsid w:val="009C547D"/>
    <w:rPr>
      <w:color w:val="605E5C"/>
      <w:shd w:val="clear" w:color="auto" w:fill="E1DFDD"/>
    </w:rPr>
  </w:style>
  <w:style w:type="character" w:styleId="FollowedHyperlink">
    <w:name w:val="FollowedHyperlink"/>
    <w:basedOn w:val="DefaultParagraphFont"/>
    <w:uiPriority w:val="99"/>
    <w:semiHidden/>
    <w:unhideWhenUsed/>
    <w:rsid w:val="005E1277"/>
    <w:rPr>
      <w:color w:val="800080" w:themeColor="followedHyperlink"/>
      <w:u w:val="single"/>
    </w:rPr>
  </w:style>
  <w:style w:type="paragraph" w:styleId="NormalWeb">
    <w:name w:val="Normal (Web)"/>
    <w:basedOn w:val="Normal"/>
    <w:uiPriority w:val="99"/>
    <w:unhideWhenUsed/>
    <w:rsid w:val="005303E7"/>
    <w:pPr>
      <w:spacing w:before="100" w:beforeAutospacing="1" w:after="100" w:afterAutospacing="1" w:line="240" w:lineRule="auto"/>
    </w:pPr>
    <w:rPr>
      <w:rFonts w:eastAsiaTheme="minorEastAsia" w:cs="Times New Roman"/>
      <w:sz w:val="24"/>
      <w:szCs w:val="24"/>
    </w:rPr>
  </w:style>
  <w:style w:type="character" w:styleId="LineNumber">
    <w:name w:val="line number"/>
    <w:basedOn w:val="DefaultParagraphFont"/>
    <w:uiPriority w:val="99"/>
    <w:semiHidden/>
    <w:unhideWhenUsed/>
    <w:rsid w:val="00944A7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3018654">
      <w:bodyDiv w:val="1"/>
      <w:marLeft w:val="0"/>
      <w:marRight w:val="0"/>
      <w:marTop w:val="0"/>
      <w:marBottom w:val="0"/>
      <w:divBdr>
        <w:top w:val="none" w:sz="0" w:space="0" w:color="auto"/>
        <w:left w:val="none" w:sz="0" w:space="0" w:color="auto"/>
        <w:bottom w:val="none" w:sz="0" w:space="0" w:color="auto"/>
        <w:right w:val="none" w:sz="0" w:space="0" w:color="auto"/>
      </w:divBdr>
    </w:div>
    <w:div w:id="520094868">
      <w:bodyDiv w:val="1"/>
      <w:marLeft w:val="0"/>
      <w:marRight w:val="0"/>
      <w:marTop w:val="0"/>
      <w:marBottom w:val="0"/>
      <w:divBdr>
        <w:top w:val="none" w:sz="0" w:space="0" w:color="auto"/>
        <w:left w:val="none" w:sz="0" w:space="0" w:color="auto"/>
        <w:bottom w:val="none" w:sz="0" w:space="0" w:color="auto"/>
        <w:right w:val="none" w:sz="0" w:space="0" w:color="auto"/>
      </w:divBdr>
    </w:div>
    <w:div w:id="527836004">
      <w:bodyDiv w:val="1"/>
      <w:marLeft w:val="0"/>
      <w:marRight w:val="0"/>
      <w:marTop w:val="0"/>
      <w:marBottom w:val="0"/>
      <w:divBdr>
        <w:top w:val="none" w:sz="0" w:space="0" w:color="auto"/>
        <w:left w:val="none" w:sz="0" w:space="0" w:color="auto"/>
        <w:bottom w:val="none" w:sz="0" w:space="0" w:color="auto"/>
        <w:right w:val="none" w:sz="0" w:space="0" w:color="auto"/>
      </w:divBdr>
    </w:div>
    <w:div w:id="1135099769">
      <w:bodyDiv w:val="1"/>
      <w:marLeft w:val="0"/>
      <w:marRight w:val="0"/>
      <w:marTop w:val="0"/>
      <w:marBottom w:val="0"/>
      <w:divBdr>
        <w:top w:val="none" w:sz="0" w:space="0" w:color="auto"/>
        <w:left w:val="none" w:sz="0" w:space="0" w:color="auto"/>
        <w:bottom w:val="none" w:sz="0" w:space="0" w:color="auto"/>
        <w:right w:val="none" w:sz="0" w:space="0" w:color="auto"/>
      </w:divBdr>
    </w:div>
    <w:div w:id="1208835979">
      <w:bodyDiv w:val="1"/>
      <w:marLeft w:val="0"/>
      <w:marRight w:val="0"/>
      <w:marTop w:val="0"/>
      <w:marBottom w:val="0"/>
      <w:divBdr>
        <w:top w:val="none" w:sz="0" w:space="0" w:color="auto"/>
        <w:left w:val="none" w:sz="0" w:space="0" w:color="auto"/>
        <w:bottom w:val="none" w:sz="0" w:space="0" w:color="auto"/>
        <w:right w:val="none" w:sz="0" w:space="0" w:color="auto"/>
      </w:divBdr>
    </w:div>
    <w:div w:id="1479881746">
      <w:bodyDiv w:val="1"/>
      <w:marLeft w:val="0"/>
      <w:marRight w:val="0"/>
      <w:marTop w:val="0"/>
      <w:marBottom w:val="0"/>
      <w:divBdr>
        <w:top w:val="none" w:sz="0" w:space="0" w:color="auto"/>
        <w:left w:val="none" w:sz="0" w:space="0" w:color="auto"/>
        <w:bottom w:val="none" w:sz="0" w:space="0" w:color="auto"/>
        <w:right w:val="none" w:sz="0" w:space="0" w:color="auto"/>
      </w:divBdr>
    </w:div>
    <w:div w:id="207495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chart" Target="charts/chart8.xml"/><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image" Target="media/image9.emf"/><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emf"/><Relationship Id="rId25" Type="http://schemas.openxmlformats.org/officeDocument/2006/relationships/chart" Target="charts/chart7.xml"/><Relationship Id="rId33" Type="http://schemas.openxmlformats.org/officeDocument/2006/relationships/chart" Target="charts/chart14.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chart" Target="charts/chart2.xml"/><Relationship Id="rId29" Type="http://schemas.openxmlformats.org/officeDocument/2006/relationships/chart" Target="charts/chart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6.xml"/><Relationship Id="rId32"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hart" Target="charts/chart1.xml"/><Relationship Id="rId31"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documents.deq.utah.gov/air-quality/planning/technical-analysis/research/model-improvements/3-wintertime-episodes/DAQ-2017-014342.pdf" TargetMode="External"/><Relationship Id="rId3" Type="http://schemas.openxmlformats.org/officeDocument/2006/relationships/hyperlink" Target="https://www.epa.gov/chief" TargetMode="External"/><Relationship Id="rId7" Type="http://schemas.openxmlformats.org/officeDocument/2006/relationships/hyperlink" Target="https://documents.deq.utah.gov/air-quality/planning/technical-analysis/research/model-improvements/3-wintertime-episodes/DAQ-2017-014342.pdf" TargetMode="External"/><Relationship Id="rId2" Type="http://schemas.openxmlformats.org/officeDocument/2006/relationships/hyperlink" Target="https://www.epa.gov/air-emissions-modeling/2011-version-6-air-emissions-modeling-platforms" TargetMode="External"/><Relationship Id="rId1" Type="http://schemas.openxmlformats.org/officeDocument/2006/relationships/hyperlink" Target="https://www.cmascenter.org/smoke/" TargetMode="External"/><Relationship Id="rId6" Type="http://schemas.openxmlformats.org/officeDocument/2006/relationships/hyperlink" Target="https://documents.deq.utah.gov/air-quality/planning/technical-analysis/research/model-improvements/3-wintertime-episodes/DAQ-2017-014342.pdf%20" TargetMode="External"/><Relationship Id="rId5" Type="http://schemas.openxmlformats.org/officeDocument/2006/relationships/hyperlink" Target="https://www.mmm.ucar.edu/weather-research-and-forecasting-model" TargetMode="External"/><Relationship Id="rId10" Type="http://schemas.openxmlformats.org/officeDocument/2006/relationships/hyperlink" Target="https://www.epa.gov/scram/photochemical-modeling-tools" TargetMode="External"/><Relationship Id="rId4" Type="http://schemas.openxmlformats.org/officeDocument/2006/relationships/hyperlink" Target="https://www.mmm.ucar.edu/weather-research-and-forecasting-model" TargetMode="External"/><Relationship Id="rId9" Type="http://schemas.openxmlformats.org/officeDocument/2006/relationships/hyperlink" Target="https://documents.deq.utah.gov/air-quality/planning/technical-analysis/research/model-improvements/3-wintertime-episodes/DAQ-2017-014342.pdf"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localhost\\Users\ndaher\Downloads\dec2013_11nov.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localhost\\Users\ndaher\Downloads\MPE_SLProvo-5.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localhost\\Users\ndaher\Downloads\dec2013_15nov-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localhost\\Users\ndaher\Downloads\feb2016NH3Inj3-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daher\Documents\Maintenance%20Plans\Model%20Performance%20Evaluation\MPE_SLProvo.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daher\Downloads\dec2013_15nov.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localhost\\Users\ndaher\Downloads\dec2013_11nov.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2.xml"/></Relationships>
</file>

<file path=word/charts/_rels/chart6.xml.rels><?xml version="1.0" encoding="UTF-8" standalone="yes"?>
<Relationships xmlns="http://schemas.openxmlformats.org/package/2006/relationships"><Relationship Id="rId3" Type="http://schemas.openxmlformats.org/officeDocument/2006/relationships/oleObject" Target="file:///\\localhost\\Users\ndaher\Downloads\dec2013_15nov.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4.xml"/></Relationships>
</file>

<file path=word/charts/_rels/chart9.xml.rels><?xml version="1.0" encoding="UTF-8" standalone="yes"?>
<Relationships xmlns="http://schemas.openxmlformats.org/package/2006/relationships"><Relationship Id="rId3" Type="http://schemas.openxmlformats.org/officeDocument/2006/relationships/oleObject" Target="file:///\\localhost\\Users\ndaher\Downloads\feb2016NH3Inj3.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layout>
        <c:manualLayout>
          <c:xMode val="edge"/>
          <c:yMode val="edge"/>
          <c:x val="0.458972222222222"/>
          <c:y val="5.5555555555555497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903937007874"/>
          <c:y val="0.200445319335083"/>
          <c:w val="0.83484951881014902"/>
          <c:h val="0.575129483814523"/>
        </c:manualLayout>
      </c:layout>
      <c:lineChart>
        <c:grouping val="standard"/>
        <c:varyColors val="0"/>
        <c:ser>
          <c:idx val="0"/>
          <c:order val="0"/>
          <c:tx>
            <c:v>Measured</c:v>
          </c:tx>
          <c:spPr>
            <a:ln w="19050" cap="rnd">
              <a:solidFill>
                <a:schemeClr val="tx1"/>
              </a:solidFill>
              <a:round/>
            </a:ln>
            <a:effectLst/>
          </c:spPr>
          <c:marker>
            <c:symbol val="circle"/>
            <c:size val="5"/>
            <c:spPr>
              <a:solidFill>
                <a:schemeClr val="tx1"/>
              </a:solidFill>
              <a:ln w="19050">
                <a:solidFill>
                  <a:schemeClr val="tx1"/>
                </a:solidFill>
              </a:ln>
              <a:effectLst/>
            </c:spPr>
          </c:marker>
          <c:cat>
            <c:multiLvlStrRef>
              <c:f>'[MPE_SLProvo-4.xlsx]24-hr PM2.5'!$B$2:$C$11</c:f>
              <c:multiLvlStrCache>
                <c:ptCount val="10"/>
                <c:lvl>
                  <c:pt idx="0">
                    <c:v>1</c:v>
                  </c:pt>
                  <c:pt idx="1">
                    <c:v>2</c:v>
                  </c:pt>
                  <c:pt idx="2">
                    <c:v>3</c:v>
                  </c:pt>
                  <c:pt idx="3">
                    <c:v>4</c:v>
                  </c:pt>
                  <c:pt idx="4">
                    <c:v>5</c:v>
                  </c:pt>
                  <c:pt idx="5">
                    <c:v>6</c:v>
                  </c:pt>
                  <c:pt idx="6">
                    <c:v>7</c:v>
                  </c:pt>
                  <c:pt idx="7">
                    <c:v>8</c:v>
                  </c:pt>
                  <c:pt idx="8">
                    <c:v>9</c:v>
                  </c:pt>
                  <c:pt idx="9">
                    <c:v>10</c:v>
                  </c:pt>
                </c:lvl>
                <c:lvl>
                  <c:pt idx="0">
                    <c:v>Jan. 2011</c:v>
                  </c:pt>
                </c:lvl>
              </c:multiLvlStrCache>
            </c:multiLvlStrRef>
          </c:cat>
          <c:val>
            <c:numRef>
              <c:f>'[MPE_SLProvo-4.xlsx]24-hr PM2.5'!$D$2:$D$11</c:f>
              <c:numCache>
                <c:formatCode>General</c:formatCode>
                <c:ptCount val="10"/>
                <c:pt idx="0">
                  <c:v>9.8000000000000007</c:v>
                </c:pt>
                <c:pt idx="1">
                  <c:v>13.3</c:v>
                </c:pt>
                <c:pt idx="2">
                  <c:v>32.6</c:v>
                </c:pt>
                <c:pt idx="3">
                  <c:v>44.7</c:v>
                </c:pt>
                <c:pt idx="4">
                  <c:v>35.799999999999997</c:v>
                </c:pt>
                <c:pt idx="5">
                  <c:v>37.700000000000003</c:v>
                </c:pt>
                <c:pt idx="6">
                  <c:v>49.4</c:v>
                </c:pt>
                <c:pt idx="7">
                  <c:v>49.1</c:v>
                </c:pt>
                <c:pt idx="8">
                  <c:v>25.4</c:v>
                </c:pt>
                <c:pt idx="9">
                  <c:v>16.3</c:v>
                </c:pt>
              </c:numCache>
            </c:numRef>
          </c:val>
          <c:smooth val="0"/>
          <c:extLst>
            <c:ext xmlns:c16="http://schemas.microsoft.com/office/drawing/2014/chart" uri="{C3380CC4-5D6E-409C-BE32-E72D297353CC}">
              <c16:uniqueId val="{00000000-7017-4F63-BD31-9FA80AEAF2F9}"/>
            </c:ext>
          </c:extLst>
        </c:ser>
        <c:ser>
          <c:idx val="1"/>
          <c:order val="1"/>
          <c:tx>
            <c:v>Modeled</c:v>
          </c:tx>
          <c:spPr>
            <a:ln w="19050" cap="rnd">
              <a:solidFill>
                <a:schemeClr val="tx1"/>
              </a:solidFill>
              <a:prstDash val="dash"/>
              <a:round/>
            </a:ln>
            <a:effectLst/>
          </c:spPr>
          <c:marker>
            <c:symbol val="circle"/>
            <c:size val="5"/>
            <c:spPr>
              <a:solidFill>
                <a:schemeClr val="tx1"/>
              </a:solidFill>
              <a:ln w="19050">
                <a:solidFill>
                  <a:schemeClr val="tx1"/>
                </a:solidFill>
                <a:prstDash val="dash"/>
              </a:ln>
              <a:effectLst/>
            </c:spPr>
          </c:marker>
          <c:val>
            <c:numRef>
              <c:f>'[MPE_SLProvo-4.xlsx]24-hr PM2.5'!$E$2:$E$11</c:f>
              <c:numCache>
                <c:formatCode>General</c:formatCode>
                <c:ptCount val="10"/>
                <c:pt idx="0">
                  <c:v>9.7210738058795609</c:v>
                </c:pt>
                <c:pt idx="1">
                  <c:v>8.5228276852562477</c:v>
                </c:pt>
                <c:pt idx="2">
                  <c:v>19.76538956060417</c:v>
                </c:pt>
                <c:pt idx="3">
                  <c:v>31.8086628314</c:v>
                </c:pt>
                <c:pt idx="4">
                  <c:v>24.52279320469998</c:v>
                </c:pt>
                <c:pt idx="5">
                  <c:v>34.872142305712472</c:v>
                </c:pt>
                <c:pt idx="6">
                  <c:v>45.015171370108327</c:v>
                </c:pt>
                <c:pt idx="7">
                  <c:v>42.897685517233207</c:v>
                </c:pt>
                <c:pt idx="8">
                  <c:v>13.32419404730167</c:v>
                </c:pt>
                <c:pt idx="9">
                  <c:v>14.740975737095001</c:v>
                </c:pt>
              </c:numCache>
            </c:numRef>
          </c:val>
          <c:smooth val="0"/>
          <c:extLst>
            <c:ext xmlns:c16="http://schemas.microsoft.com/office/drawing/2014/chart" uri="{C3380CC4-5D6E-409C-BE32-E72D297353CC}">
              <c16:uniqueId val="{00000001-7017-4F63-BD31-9FA80AEAF2F9}"/>
            </c:ext>
          </c:extLst>
        </c:ser>
        <c:dLbls>
          <c:showLegendKey val="0"/>
          <c:showVal val="0"/>
          <c:showCatName val="0"/>
          <c:showSerName val="0"/>
          <c:showPercent val="0"/>
          <c:showBubbleSize val="0"/>
        </c:dLbls>
        <c:marker val="1"/>
        <c:smooth val="0"/>
        <c:axId val="2107314240"/>
        <c:axId val="2107319440"/>
      </c:lineChart>
      <c:catAx>
        <c:axId val="2107314240"/>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319440"/>
        <c:crosses val="autoZero"/>
        <c:auto val="1"/>
        <c:lblAlgn val="ctr"/>
        <c:lblOffset val="100"/>
        <c:noMultiLvlLbl val="0"/>
      </c:catAx>
      <c:valAx>
        <c:axId val="21073194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(ug/m3)</a:t>
                </a:r>
              </a:p>
            </c:rich>
          </c:tx>
          <c:layout>
            <c:manualLayout>
              <c:xMode val="edge"/>
              <c:yMode val="edge"/>
              <c:x val="3.0378250591016499E-2"/>
              <c:y val="0.119166666666667"/>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7314240"/>
        <c:crosses val="autoZero"/>
        <c:crossBetween val="between"/>
      </c:valAx>
      <c:spPr>
        <a:noFill/>
        <a:ln w="3175">
          <a:solidFill>
            <a:schemeClr val="bg2"/>
          </a:solidFill>
        </a:ln>
        <a:effectLst/>
      </c:spPr>
    </c:plotArea>
    <c:legend>
      <c:legendPos val="t"/>
      <c:layout>
        <c:manualLayout>
          <c:xMode val="edge"/>
          <c:yMode val="edge"/>
          <c:x val="0.28387204724409398"/>
          <c:y val="0.101139107611549"/>
          <c:w val="0.44336679790026201"/>
          <c:h val="0.1048617672790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January 2011</a:t>
            </a:r>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1905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999856463254601"/>
                  <c:y val="6.7933891076115503E-3"/>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'[MPE_SLProvo-5.xlsx]MPE_SLProvo'!$BF$53:$BF$62</c:f>
              <c:numCache>
                <c:formatCode>General</c:formatCode>
                <c:ptCount val="10"/>
                <c:pt idx="0">
                  <c:v>9.8000000000000007</c:v>
                </c:pt>
                <c:pt idx="1">
                  <c:v>13.3</c:v>
                </c:pt>
                <c:pt idx="2">
                  <c:v>32.6</c:v>
                </c:pt>
                <c:pt idx="3">
                  <c:v>44.7</c:v>
                </c:pt>
                <c:pt idx="4">
                  <c:v>35.799999999999997</c:v>
                </c:pt>
                <c:pt idx="5">
                  <c:v>37.700000000000003</c:v>
                </c:pt>
                <c:pt idx="6">
                  <c:v>49.4</c:v>
                </c:pt>
                <c:pt idx="7">
                  <c:v>49.1</c:v>
                </c:pt>
                <c:pt idx="8">
                  <c:v>25.4</c:v>
                </c:pt>
                <c:pt idx="9">
                  <c:v>16.3</c:v>
                </c:pt>
              </c:numCache>
            </c:numRef>
          </c:xVal>
          <c:yVal>
            <c:numRef>
              <c:f>'[MPE_SLProvo-5.xlsx]MPE_SLProvo'!$BG$53:$BG$62</c:f>
              <c:numCache>
                <c:formatCode>0.00</c:formatCode>
                <c:ptCount val="10"/>
                <c:pt idx="0">
                  <c:v>9.7210738058795663</c:v>
                </c:pt>
                <c:pt idx="1">
                  <c:v>8.5228276852562477</c:v>
                </c:pt>
                <c:pt idx="2">
                  <c:v>19.76538956060417</c:v>
                </c:pt>
                <c:pt idx="3">
                  <c:v>31.8086628314</c:v>
                </c:pt>
                <c:pt idx="4">
                  <c:v>24.52279320469998</c:v>
                </c:pt>
                <c:pt idx="5">
                  <c:v>34.872142305712472</c:v>
                </c:pt>
                <c:pt idx="6">
                  <c:v>45.015171370108327</c:v>
                </c:pt>
                <c:pt idx="7">
                  <c:v>42.897685517233242</c:v>
                </c:pt>
                <c:pt idx="8">
                  <c:v>13.32419404730167</c:v>
                </c:pt>
                <c:pt idx="9">
                  <c:v>14.740975737095001</c:v>
                </c:pt>
              </c:numCache>
            </c:numRef>
          </c:yVal>
          <c:smooth val="0"/>
          <c:extLst>
            <c:ext xmlns:c16="http://schemas.microsoft.com/office/drawing/2014/chart" uri="{C3380CC4-5D6E-409C-BE32-E72D297353CC}">
              <c16:uniqueId val="{00000001-5A28-40E4-9560-A18B6D8CC96D}"/>
            </c:ext>
          </c:extLst>
        </c:ser>
        <c:dLbls>
          <c:showLegendKey val="0"/>
          <c:showVal val="0"/>
          <c:showCatName val="0"/>
          <c:showSerName val="0"/>
          <c:showPercent val="0"/>
          <c:showBubbleSize val="0"/>
        </c:dLbls>
        <c:axId val="2064171600"/>
        <c:axId val="-2127615088"/>
      </c:scatterChart>
      <c:valAx>
        <c:axId val="206417160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7615088"/>
        <c:crosses val="autoZero"/>
        <c:crossBetween val="midCat"/>
      </c:valAx>
      <c:valAx>
        <c:axId val="-21276150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layout>
            <c:manualLayout>
              <c:xMode val="edge"/>
              <c:yMode val="edge"/>
              <c:x val="3.05555555555556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6417160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December 2013</a:t>
            </a:r>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07190264853257"/>
                  <c:y val="-1.46206896551724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'[dec2013_15nov-2.xlsx]dec2013_15nov'!$BE$4:$BE$17</c:f>
              <c:numCache>
                <c:formatCode>General</c:formatCode>
                <c:ptCount val="14"/>
                <c:pt idx="0">
                  <c:v>9.3000000000000007</c:v>
                </c:pt>
                <c:pt idx="1">
                  <c:v>9.4</c:v>
                </c:pt>
                <c:pt idx="2">
                  <c:v>11.433</c:v>
                </c:pt>
                <c:pt idx="3">
                  <c:v>26.3</c:v>
                </c:pt>
                <c:pt idx="4">
                  <c:v>40.299999999999997</c:v>
                </c:pt>
                <c:pt idx="5">
                  <c:v>54.5</c:v>
                </c:pt>
                <c:pt idx="6">
                  <c:v>66.5</c:v>
                </c:pt>
                <c:pt idx="7">
                  <c:v>69</c:v>
                </c:pt>
                <c:pt idx="8">
                  <c:v>50.1</c:v>
                </c:pt>
                <c:pt idx="9">
                  <c:v>46.5</c:v>
                </c:pt>
                <c:pt idx="10">
                  <c:v>42.8</c:v>
                </c:pt>
                <c:pt idx="11">
                  <c:v>38.200000000000003</c:v>
                </c:pt>
                <c:pt idx="12">
                  <c:v>8.3000000000000007</c:v>
                </c:pt>
                <c:pt idx="13">
                  <c:v>16.5</c:v>
                </c:pt>
              </c:numCache>
            </c:numRef>
          </c:xVal>
          <c:yVal>
            <c:numRef>
              <c:f>'[dec2013_15nov-2.xlsx]dec2013_15nov'!$BE$24:$BE$37</c:f>
              <c:numCache>
                <c:formatCode>0.0</c:formatCode>
                <c:ptCount val="14"/>
                <c:pt idx="0">
                  <c:v>10.76464912309833</c:v>
                </c:pt>
                <c:pt idx="1">
                  <c:v>13.808297233645829</c:v>
                </c:pt>
                <c:pt idx="2">
                  <c:v>10.08323559270667</c:v>
                </c:pt>
                <c:pt idx="3">
                  <c:v>12.978339098339999</c:v>
                </c:pt>
                <c:pt idx="4">
                  <c:v>28.345849466270831</c:v>
                </c:pt>
                <c:pt idx="5">
                  <c:v>26.626129832024979</c:v>
                </c:pt>
                <c:pt idx="6">
                  <c:v>37.101427745445832</c:v>
                </c:pt>
                <c:pt idx="7">
                  <c:v>32.304413916724997</c:v>
                </c:pt>
                <c:pt idx="8">
                  <c:v>22.899979056695841</c:v>
                </c:pt>
                <c:pt idx="9">
                  <c:v>22.016133005037499</c:v>
                </c:pt>
                <c:pt idx="10">
                  <c:v>25.37476464931251</c:v>
                </c:pt>
                <c:pt idx="11">
                  <c:v>12.857861797662499</c:v>
                </c:pt>
                <c:pt idx="12">
                  <c:v>11.50962638820333</c:v>
                </c:pt>
                <c:pt idx="13">
                  <c:v>15.92571909786875</c:v>
                </c:pt>
              </c:numCache>
            </c:numRef>
          </c:yVal>
          <c:smooth val="0"/>
          <c:extLst>
            <c:ext xmlns:c16="http://schemas.microsoft.com/office/drawing/2014/chart" uri="{C3380CC4-5D6E-409C-BE32-E72D297353CC}">
              <c16:uniqueId val="{00000001-F333-4E94-A165-4ABAB1E1E08B}"/>
            </c:ext>
          </c:extLst>
        </c:ser>
        <c:dLbls>
          <c:showLegendKey val="0"/>
          <c:showVal val="0"/>
          <c:showCatName val="0"/>
          <c:showSerName val="0"/>
          <c:showPercent val="0"/>
          <c:showBubbleSize val="0"/>
        </c:dLbls>
        <c:axId val="2111453232"/>
        <c:axId val="2111381488"/>
      </c:scatterChart>
      <c:valAx>
        <c:axId val="211145323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381488"/>
        <c:crosses val="autoZero"/>
        <c:crossBetween val="midCat"/>
      </c:valAx>
      <c:valAx>
        <c:axId val="21113814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a:t>
                </a:r>
                <a:r>
                  <a:rPr lang="en-US" baseline="0"/>
                  <a:t> concentration (ug/m3)</a:t>
                </a:r>
                <a:endParaRPr lang="en-US"/>
              </a:p>
            </c:rich>
          </c:tx>
          <c:layout>
            <c:manualLayout>
              <c:xMode val="edge"/>
              <c:yMode val="edge"/>
              <c:x val="3.05555555555556E-2"/>
              <c:y val="0.13046296296296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532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February</a:t>
            </a:r>
            <a:r>
              <a:rPr lang="en-US" sz="1000" baseline="0"/>
              <a:t> 2016</a:t>
            </a:r>
            <a:endParaRPr lang="en-US" sz="1000"/>
          </a:p>
          <a:p>
            <a:pPr>
              <a:defRPr sz="1000"/>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spPr>
            <a:ln w="25400" cap="rnd">
              <a:noFill/>
              <a:round/>
            </a:ln>
            <a:effectLst/>
          </c:spPr>
          <c:marker>
            <c:symbol val="circle"/>
            <c:size val="5"/>
            <c:spPr>
              <a:solidFill>
                <a:schemeClr val="tx1"/>
              </a:solidFill>
              <a:ln w="9525">
                <a:solidFill>
                  <a:schemeClr val="tx1"/>
                </a:solidFill>
              </a:ln>
              <a:effectLst/>
            </c:spPr>
          </c:marker>
          <c:trendline>
            <c:spPr>
              <a:ln w="19050" cap="rnd">
                <a:solidFill>
                  <a:schemeClr val="tx1"/>
                </a:solidFill>
                <a:prstDash val="sysDot"/>
              </a:ln>
              <a:effectLst/>
            </c:spPr>
            <c:trendlineType val="linear"/>
            <c:dispRSqr val="1"/>
            <c:dispEq val="1"/>
            <c:trendlineLbl>
              <c:layout>
                <c:manualLayout>
                  <c:x val="-0.13943072456851999"/>
                  <c:y val="-9.1871470611628106E-2"/>
                </c:manualLayout>
              </c:layout>
              <c:numFmt formatCode="#,##0.00" sourceLinked="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rendlineLbl>
          </c:trendline>
          <c:xVal>
            <c:numRef>
              <c:f>'[feb2016NH3Inj3-3.xlsx]feb2016NH3Inj3'!$CL$3:$CL$18</c:f>
              <c:numCache>
                <c:formatCode>General</c:formatCode>
                <c:ptCount val="16"/>
                <c:pt idx="4" formatCode="0">
                  <c:v>19.012499999999999</c:v>
                </c:pt>
                <c:pt idx="5" formatCode="0">
                  <c:v>20.987500000000001</c:v>
                </c:pt>
                <c:pt idx="6" formatCode="0">
                  <c:v>24.766666666666669</c:v>
                </c:pt>
                <c:pt idx="7" formatCode="0">
                  <c:v>30.237500000000001</c:v>
                </c:pt>
                <c:pt idx="8" formatCode="0">
                  <c:v>38.1</c:v>
                </c:pt>
                <c:pt idx="9" formatCode="0">
                  <c:v>34.987499999999997</c:v>
                </c:pt>
                <c:pt idx="10" formatCode="0">
                  <c:v>36.816666666666528</c:v>
                </c:pt>
                <c:pt idx="11" formatCode="0">
                  <c:v>35.50833333333334</c:v>
                </c:pt>
                <c:pt idx="12" formatCode="0">
                  <c:v>36.712499999999999</c:v>
                </c:pt>
                <c:pt idx="13" formatCode="0">
                  <c:v>52.858333333333341</c:v>
                </c:pt>
                <c:pt idx="14" formatCode="0">
                  <c:v>41.004166666666578</c:v>
                </c:pt>
                <c:pt idx="15" formatCode="0">
                  <c:v>16.12916666666667</c:v>
                </c:pt>
              </c:numCache>
            </c:numRef>
          </c:xVal>
          <c:yVal>
            <c:numRef>
              <c:f>'[feb2016NH3Inj3-3.xlsx]feb2016NH3Inj3'!$CM$3:$CM$18</c:f>
              <c:numCache>
                <c:formatCode>0.00</c:formatCode>
                <c:ptCount val="16"/>
                <c:pt idx="0">
                  <c:v>7.9816778213287467</c:v>
                </c:pt>
                <c:pt idx="1">
                  <c:v>10.085586580275001</c:v>
                </c:pt>
                <c:pt idx="2">
                  <c:v>11.309916491113331</c:v>
                </c:pt>
                <c:pt idx="3">
                  <c:v>9.6014107899054171</c:v>
                </c:pt>
                <c:pt idx="4">
                  <c:v>14.48031818280125</c:v>
                </c:pt>
                <c:pt idx="5">
                  <c:v>17.503314330395821</c:v>
                </c:pt>
                <c:pt idx="6">
                  <c:v>23.86068458919582</c:v>
                </c:pt>
                <c:pt idx="7">
                  <c:v>35.784875417554147</c:v>
                </c:pt>
                <c:pt idx="8">
                  <c:v>39.729287627029173</c:v>
                </c:pt>
                <c:pt idx="9">
                  <c:v>75.613556741329162</c:v>
                </c:pt>
                <c:pt idx="10">
                  <c:v>68.605634443929148</c:v>
                </c:pt>
                <c:pt idx="11">
                  <c:v>36.97938669592083</c:v>
                </c:pt>
                <c:pt idx="12">
                  <c:v>19.31800337755833</c:v>
                </c:pt>
                <c:pt idx="13">
                  <c:v>17.479932700105419</c:v>
                </c:pt>
                <c:pt idx="14">
                  <c:v>9.61812246618749</c:v>
                </c:pt>
                <c:pt idx="15">
                  <c:v>11.71879477064706</c:v>
                </c:pt>
              </c:numCache>
            </c:numRef>
          </c:yVal>
          <c:smooth val="0"/>
          <c:extLst>
            <c:ext xmlns:c16="http://schemas.microsoft.com/office/drawing/2014/chart" uri="{C3380CC4-5D6E-409C-BE32-E72D297353CC}">
              <c16:uniqueId val="{00000001-13D4-4C49-9735-E7515AA9ABC6}"/>
            </c:ext>
          </c:extLst>
        </c:ser>
        <c:dLbls>
          <c:showLegendKey val="0"/>
          <c:showVal val="0"/>
          <c:showCatName val="0"/>
          <c:showSerName val="0"/>
          <c:showPercent val="0"/>
          <c:showBubbleSize val="0"/>
        </c:dLbls>
        <c:axId val="2111487552"/>
        <c:axId val="2111490944"/>
      </c:scatterChart>
      <c:valAx>
        <c:axId val="2111487552"/>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 PM2.5 concentration (ug/m3)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90944"/>
        <c:crosses val="autoZero"/>
        <c:crossBetween val="midCat"/>
      </c:valAx>
      <c:valAx>
        <c:axId val="21114909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Modeled PM2.5 concentration (ug/m3)</a:t>
                </a:r>
              </a:p>
            </c:rich>
          </c:tx>
          <c:layout>
            <c:manualLayout>
              <c:xMode val="edge"/>
              <c:yMode val="edge"/>
              <c:x val="3.1553398058252399E-2"/>
              <c:y val="0.1721296296296299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48755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December 12 2013</a:t>
            </a:r>
            <a:endParaRPr lang="en-US" sz="1000" baseline="0"/>
          </a:p>
          <a:p>
            <a:pPr>
              <a:defRPr sz="1000"/>
            </a:pPr>
            <a:r>
              <a:rPr lang="en-US" sz="1000" baseline="0"/>
              <a:t>Measured PM2.5 = 45.9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9C-4C13-8FAE-FA6C9BCBE21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9C-4C13-8FAE-FA6C9BCBE21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9C-4C13-8FAE-FA6C9BCBE21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29C-4C13-8FAE-FA6C9BCBE21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29C-4C13-8FAE-FA6C9BCBE21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29C-4C13-8FAE-FA6C9BCBE21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29C-4C13-8FAE-FA6C9BCBE21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29C-4C13-8FAE-FA6C9BCBE21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29C-4C13-8FAE-FA6C9BCBE218}"/>
              </c:ext>
            </c:extLst>
          </c:dPt>
          <c:dLbls>
            <c:dLbl>
              <c:idx val="0"/>
              <c:layout>
                <c:manualLayout>
                  <c:x val="-0.216480046848983"/>
                  <c:y val="-1.33655627605373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29C-4C13-8FAE-FA6C9BCBE218}"/>
                </c:ext>
              </c:extLst>
            </c:dLbl>
            <c:dLbl>
              <c:idx val="4"/>
              <c:layout>
                <c:manualLayout>
                  <c:x val="-2.4641577060931902E-4"/>
                  <c:y val="0.114302532036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29C-4C13-8FAE-FA6C9BCBE21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929C-4C13-8FAE-FA6C9BCBE218}"/>
                </c:ext>
              </c:extLst>
            </c:dLbl>
            <c:dLbl>
              <c:idx val="7"/>
              <c:layout>
                <c:manualLayout>
                  <c:x val="-1.75648406852369E-3"/>
                  <c:y val="-0.337670153363183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29C-4C13-8FAE-FA6C9BCBE218}"/>
                </c:ext>
              </c:extLst>
            </c:dLbl>
            <c:dLbl>
              <c:idx val="8"/>
              <c:layout>
                <c:manualLayout>
                  <c:x val="0.18215223097112901"/>
                  <c:y val="0.1866119216715559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29C-4C13-8FAE-FA6C9BCBE21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'2013 STN Lindon'!$D$1:$L$1</c:f>
              <c:strCache>
                <c:ptCount val="9"/>
                <c:pt idx="0">
                  <c:v>NO3</c:v>
                </c:pt>
                <c:pt idx="1">
                  <c:v>NH4</c:v>
                </c:pt>
                <c:pt idx="2">
                  <c:v>SO4</c:v>
                </c:pt>
                <c:pt idx="3">
                  <c:v>OC</c:v>
                </c:pt>
                <c:pt idx="4">
                  <c:v>EC</c:v>
                </c:pt>
                <c:pt idx="5">
                  <c:v>Crustal Material</c:v>
                </c:pt>
                <c:pt idx="6">
                  <c:v>Na</c:v>
                </c:pt>
                <c:pt idx="7">
                  <c:v>Cl </c:v>
                </c:pt>
                <c:pt idx="8">
                  <c:v>Other Mass</c:v>
                </c:pt>
              </c:strCache>
            </c:strRef>
          </c:cat>
          <c:val>
            <c:numRef>
              <c:f>'2013 STN Lindon'!$D$2:$L$2</c:f>
              <c:numCache>
                <c:formatCode>0.0</c:formatCode>
                <c:ptCount val="9"/>
                <c:pt idx="0">
                  <c:v>22.4</c:v>
                </c:pt>
                <c:pt idx="1">
                  <c:v>6.76</c:v>
                </c:pt>
                <c:pt idx="2">
                  <c:v>1.01</c:v>
                </c:pt>
                <c:pt idx="3">
                  <c:v>4.5299999999999976</c:v>
                </c:pt>
                <c:pt idx="4">
                  <c:v>1.96</c:v>
                </c:pt>
                <c:pt idx="5">
                  <c:v>0.85401780000000005</c:v>
                </c:pt>
                <c:pt idx="6">
                  <c:v>5.8900000000000001E-2</c:v>
                </c:pt>
                <c:pt idx="7">
                  <c:v>0.71599999999999997</c:v>
                </c:pt>
                <c:pt idx="8">
                  <c:v>7.6110821999999967</c:v>
                </c:pt>
              </c:numCache>
            </c:numRef>
          </c:val>
          <c:extLst>
            <c:ext xmlns:c16="http://schemas.microsoft.com/office/drawing/2014/chart" uri="{C3380CC4-5D6E-409C-BE32-E72D297353CC}">
              <c16:uniqueId val="{00000012-929C-4C13-8FAE-FA6C9BCBE21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January 07</a:t>
            </a:r>
            <a:r>
              <a:rPr lang="en-US" sz="1000" baseline="0"/>
              <a:t> 2011</a:t>
            </a:r>
          </a:p>
          <a:p>
            <a:pPr>
              <a:defRPr sz="1000"/>
            </a:pPr>
            <a:r>
              <a:rPr lang="en-US" sz="1000" baseline="0"/>
              <a:t>Modeled PM2.5 = 45.02 ug/m3</a:t>
            </a:r>
            <a:endParaRPr lang="en-US" sz="1000"/>
          </a:p>
        </c:rich>
      </c:tx>
      <c:layout>
        <c:manualLayout>
          <c:xMode val="edge"/>
          <c:yMode val="edge"/>
          <c:x val="0.18078733101910599"/>
          <c:y val="1.5998919252740501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8A9-4274-B3B9-70CBAC0DF2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8A9-4274-B3B9-70CBAC0DF23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8A9-4274-B3B9-70CBAC0DF23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8A9-4274-B3B9-70CBAC0DF23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8A9-4274-B3B9-70CBAC0DF23E}"/>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8A9-4274-B3B9-70CBAC0DF23E}"/>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8A9-4274-B3B9-70CBAC0DF23E}"/>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8A9-4274-B3B9-70CBAC0DF23E}"/>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8A9-4274-B3B9-70CBAC0DF23E}"/>
              </c:ext>
            </c:extLst>
          </c:dPt>
          <c:dLbls>
            <c:dLbl>
              <c:idx val="0"/>
              <c:layout>
                <c:manualLayout>
                  <c:x val="-0.21337030451838701"/>
                  <c:y val="-1.6862230456487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8A9-4274-B3B9-70CBAC0DF23E}"/>
                </c:ext>
              </c:extLst>
            </c:dLbl>
            <c:dLbl>
              <c:idx val="4"/>
              <c:layout>
                <c:manualLayout>
                  <c:x val="5.9561355233821601E-3"/>
                  <c:y val="8.0647547733004005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8A9-4274-B3B9-70CBAC0DF23E}"/>
                </c:ext>
              </c:extLst>
            </c:dLbl>
            <c:dLbl>
              <c:idx val="5"/>
              <c:layout>
                <c:manualLayout>
                  <c:x val="-0.12333029943837701"/>
                  <c:y val="0.1099065282280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8A9-4274-B3B9-70CBAC0DF23E}"/>
                </c:ext>
              </c:extLst>
            </c:dLbl>
            <c:dLbl>
              <c:idx val="6"/>
              <c:layout>
                <c:manualLayout>
                  <c:x val="-0.143916158665651"/>
                  <c:y val="-1.026613401266020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8A9-4274-B3B9-70CBAC0DF23E}"/>
                </c:ext>
              </c:extLst>
            </c:dLbl>
            <c:dLbl>
              <c:idx val="7"/>
              <c:layout>
                <c:manualLayout>
                  <c:x val="-0.263097253972286"/>
                  <c:y val="-0.12366836498378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8A9-4274-B3B9-70CBAC0DF23E}"/>
                </c:ext>
              </c:extLst>
            </c:dLbl>
            <c:dLbl>
              <c:idx val="8"/>
              <c:layout>
                <c:manualLayout>
                  <c:x val="7.1640137724719902E-2"/>
                  <c:y val="2.5954016777314601E-3"/>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15:layout>
                    <c:manualLayout>
                      <c:w val="0.24536272683656499"/>
                      <c:h val="0.11419542226339401"/>
                    </c:manualLayout>
                  </c15:layout>
                </c:ext>
                <c:ext xmlns:c16="http://schemas.microsoft.com/office/drawing/2014/chart" uri="{C3380CC4-5D6E-409C-BE32-E72D297353CC}">
                  <c16:uniqueId val="{00000011-98A9-4274-B3B9-70CBAC0DF23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MPE_SLProvo!$BG$46:$BO$46</c:f>
              <c:numCache>
                <c:formatCode>0.0</c:formatCode>
                <c:ptCount val="9"/>
                <c:pt idx="0">
                  <c:v>22.570961793266669</c:v>
                </c:pt>
                <c:pt idx="1">
                  <c:v>7.0182542006183306</c:v>
                </c:pt>
                <c:pt idx="2">
                  <c:v>1.227371337513083</c:v>
                </c:pt>
                <c:pt idx="3">
                  <c:v>4.3283981092037784</c:v>
                </c:pt>
                <c:pt idx="4">
                  <c:v>3.472758824627078</c:v>
                </c:pt>
                <c:pt idx="5">
                  <c:v>4.3754352469299889</c:v>
                </c:pt>
                <c:pt idx="6">
                  <c:v>0.110660747314375</c:v>
                </c:pt>
                <c:pt idx="7">
                  <c:v>0.21939654493084601</c:v>
                </c:pt>
                <c:pt idx="8">
                  <c:v>1.691934565704166</c:v>
                </c:pt>
              </c:numCache>
            </c:numRef>
          </c:val>
          <c:extLst>
            <c:ext xmlns:c16="http://schemas.microsoft.com/office/drawing/2014/chart" uri="{C3380CC4-5D6E-409C-BE32-E72D297353CC}">
              <c16:uniqueId val="{00000012-98A9-4274-B3B9-70CBAC0DF23E}"/>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December 12 2013</a:t>
            </a:r>
            <a:endParaRPr lang="en-US" sz="1000" baseline="0"/>
          </a:p>
          <a:p>
            <a:pPr>
              <a:defRPr sz="1000"/>
            </a:pPr>
            <a:r>
              <a:rPr lang="en-US" sz="1000" baseline="0"/>
              <a:t>Measured PM2.5 = 45.9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BDE-4CB4-A1EF-ACFB0265086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BDE-4CB4-A1EF-ACFB0265086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BDE-4CB4-A1EF-ACFB02650868}"/>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BDE-4CB4-A1EF-ACFB02650868}"/>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BDE-4CB4-A1EF-ACFB02650868}"/>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BDE-4CB4-A1EF-ACFB02650868}"/>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BDE-4CB4-A1EF-ACFB02650868}"/>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BDE-4CB4-A1EF-ACFB02650868}"/>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BDE-4CB4-A1EF-ACFB02650868}"/>
              </c:ext>
            </c:extLst>
          </c:dPt>
          <c:dLbls>
            <c:dLbl>
              <c:idx val="0"/>
              <c:layout>
                <c:manualLayout>
                  <c:x val="-0.204159258318517"/>
                  <c:y val="-1.23443209304719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DBDE-4CB4-A1EF-ACFB02650868}"/>
                </c:ext>
              </c:extLst>
            </c:dLbl>
            <c:dLbl>
              <c:idx val="4"/>
              <c:layout>
                <c:manualLayout>
                  <c:x val="-2.4641577060931902E-4"/>
                  <c:y val="0.114302532036437"/>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DBDE-4CB4-A1EF-ACFB02650868}"/>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6="http://schemas.microsoft.com/office/drawing/2014/chart" uri="{C3380CC4-5D6E-409C-BE32-E72D297353CC}">
                  <c16:uniqueId val="{0000000D-DBDE-4CB4-A1EF-ACFB02650868}"/>
                </c:ext>
              </c:extLst>
            </c:dLbl>
            <c:dLbl>
              <c:idx val="7"/>
              <c:layout>
                <c:manualLayout>
                  <c:x val="-1.75648406852369E-3"/>
                  <c:y val="-0.337670153363183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BDE-4CB4-A1EF-ACFB02650868}"/>
                </c:ext>
              </c:extLst>
            </c:dLbl>
            <c:dLbl>
              <c:idx val="8"/>
              <c:layout>
                <c:manualLayout>
                  <c:x val="0.15079022380266999"/>
                  <c:y val="0.18252695435129401"/>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DBDE-4CB4-A1EF-ACFB02650868}"/>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'2013 STN Lindon'!$D$1:$L$1</c:f>
              <c:strCache>
                <c:ptCount val="9"/>
                <c:pt idx="0">
                  <c:v>NO3</c:v>
                </c:pt>
                <c:pt idx="1">
                  <c:v>NH4</c:v>
                </c:pt>
                <c:pt idx="2">
                  <c:v>SO4</c:v>
                </c:pt>
                <c:pt idx="3">
                  <c:v>OC</c:v>
                </c:pt>
                <c:pt idx="4">
                  <c:v>EC</c:v>
                </c:pt>
                <c:pt idx="5">
                  <c:v>Crustal Material</c:v>
                </c:pt>
                <c:pt idx="6">
                  <c:v>Na</c:v>
                </c:pt>
                <c:pt idx="7">
                  <c:v>Cl </c:v>
                </c:pt>
                <c:pt idx="8">
                  <c:v>Other Mass</c:v>
                </c:pt>
              </c:strCache>
            </c:strRef>
          </c:cat>
          <c:val>
            <c:numRef>
              <c:f>'2013 STN Lindon'!$D$2:$L$2</c:f>
              <c:numCache>
                <c:formatCode>0.0</c:formatCode>
                <c:ptCount val="9"/>
                <c:pt idx="0">
                  <c:v>22.4</c:v>
                </c:pt>
                <c:pt idx="1">
                  <c:v>6.76</c:v>
                </c:pt>
                <c:pt idx="2">
                  <c:v>1.01</c:v>
                </c:pt>
                <c:pt idx="3">
                  <c:v>4.5299999999999976</c:v>
                </c:pt>
                <c:pt idx="4">
                  <c:v>1.96</c:v>
                </c:pt>
                <c:pt idx="5">
                  <c:v>0.85401780000000005</c:v>
                </c:pt>
                <c:pt idx="6">
                  <c:v>5.8900000000000001E-2</c:v>
                </c:pt>
                <c:pt idx="7">
                  <c:v>0.71599999999999997</c:v>
                </c:pt>
                <c:pt idx="8">
                  <c:v>7.6110821999999967</c:v>
                </c:pt>
              </c:numCache>
            </c:numRef>
          </c:val>
          <c:extLst>
            <c:ext xmlns:c16="http://schemas.microsoft.com/office/drawing/2014/chart" uri="{C3380CC4-5D6E-409C-BE32-E72D297353CC}">
              <c16:uniqueId val="{00000012-DBDE-4CB4-A1EF-ACFB02650868}"/>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January 07</a:t>
            </a:r>
            <a:r>
              <a:rPr lang="en-US" sz="1000" baseline="0"/>
              <a:t> 2011</a:t>
            </a:r>
          </a:p>
          <a:p>
            <a:pPr>
              <a:defRPr sz="1000"/>
            </a:pPr>
            <a:r>
              <a:rPr lang="en-US" sz="1000" baseline="0"/>
              <a:t>Modeled PM2.5 = 45.02 ug/m3</a:t>
            </a:r>
            <a:endParaRPr lang="en-US" sz="1000"/>
          </a:p>
        </c:rich>
      </c:tx>
      <c:layout>
        <c:manualLayout>
          <c:xMode val="edge"/>
          <c:yMode val="edge"/>
          <c:x val="0.18526761775745801"/>
          <c:y val="1.59978044647689E-3"/>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38176276352553"/>
          <c:y val="0.28871534978237401"/>
          <c:w val="0.70572630034148998"/>
          <c:h val="0.61687139313186001"/>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EFA-4220-A445-4B1B8A3D9061}"/>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EFA-4220-A445-4B1B8A3D9061}"/>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EFA-4220-A445-4B1B8A3D9061}"/>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9EFA-4220-A445-4B1B8A3D9061}"/>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9EFA-4220-A445-4B1B8A3D9061}"/>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9EFA-4220-A445-4B1B8A3D9061}"/>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9EFA-4220-A445-4B1B8A3D9061}"/>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9EFA-4220-A445-4B1B8A3D9061}"/>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9EFA-4220-A445-4B1B8A3D9061}"/>
              </c:ext>
            </c:extLst>
          </c:dPt>
          <c:dLbls>
            <c:dLbl>
              <c:idx val="0"/>
              <c:layout>
                <c:manualLayout>
                  <c:x val="-0.25312649930855402"/>
                  <c:y val="-3.0996517054714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9EFA-4220-A445-4B1B8A3D9061}"/>
                </c:ext>
              </c:extLst>
            </c:dLbl>
            <c:dLbl>
              <c:idx val="4"/>
              <c:layout>
                <c:manualLayout>
                  <c:x val="-2.9885981994186201E-2"/>
                  <c:y val="8.4563876353129702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EFA-4220-A445-4B1B8A3D9061}"/>
                </c:ext>
              </c:extLst>
            </c:dLbl>
            <c:dLbl>
              <c:idx val="5"/>
              <c:layout>
                <c:manualLayout>
                  <c:x val="-0.12333029943837701"/>
                  <c:y val="0.109906528228089"/>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9EFA-4220-A445-4B1B8A3D9061}"/>
                </c:ext>
              </c:extLst>
            </c:dLbl>
            <c:dLbl>
              <c:idx val="6"/>
              <c:layout>
                <c:manualLayout>
                  <c:x val="-0.143916158665651"/>
                  <c:y val="-1.0266134012660201E-2"/>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9EFA-4220-A445-4B1B8A3D9061}"/>
                </c:ext>
              </c:extLst>
            </c:dLbl>
            <c:dLbl>
              <c:idx val="7"/>
              <c:layout>
                <c:manualLayout>
                  <c:x val="-0.263097253972286"/>
                  <c:y val="-0.12366836498378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9EFA-4220-A445-4B1B8A3D9061}"/>
                </c:ext>
              </c:extLst>
            </c:dLbl>
            <c:dLbl>
              <c:idx val="8"/>
              <c:layout>
                <c:manualLayout>
                  <c:x val="8.3280416560833105E-3"/>
                  <c:y val="3.3529091612716201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9EFA-4220-A445-4B1B8A3D906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MPE_SLProvo!$BG$2:$BO$2</c:f>
              <c:strCache>
                <c:ptCount val="9"/>
                <c:pt idx="0">
                  <c:v>NO3</c:v>
                </c:pt>
                <c:pt idx="1">
                  <c:v>NH4</c:v>
                </c:pt>
                <c:pt idx="2">
                  <c:v>SO4</c:v>
                </c:pt>
                <c:pt idx="3">
                  <c:v>OC</c:v>
                </c:pt>
                <c:pt idx="4">
                  <c:v>EC</c:v>
                </c:pt>
                <c:pt idx="5">
                  <c:v>Crustal Material</c:v>
                </c:pt>
                <c:pt idx="6">
                  <c:v>Na</c:v>
                </c:pt>
                <c:pt idx="7">
                  <c:v>Cl</c:v>
                </c:pt>
                <c:pt idx="8">
                  <c:v>Other mass</c:v>
                </c:pt>
              </c:strCache>
            </c:strRef>
          </c:cat>
          <c:val>
            <c:numRef>
              <c:f>MPE_SLProvo!$BG$46:$BO$46</c:f>
              <c:numCache>
                <c:formatCode>0.0</c:formatCode>
                <c:ptCount val="9"/>
                <c:pt idx="0">
                  <c:v>22.570961793266669</c:v>
                </c:pt>
                <c:pt idx="1">
                  <c:v>7.0182542006183306</c:v>
                </c:pt>
                <c:pt idx="2">
                  <c:v>1.227371337513083</c:v>
                </c:pt>
                <c:pt idx="3">
                  <c:v>4.3283981092037784</c:v>
                </c:pt>
                <c:pt idx="4">
                  <c:v>3.4727588246270771</c:v>
                </c:pt>
                <c:pt idx="5">
                  <c:v>4.3754352469299809</c:v>
                </c:pt>
                <c:pt idx="6">
                  <c:v>0.110660747314375</c:v>
                </c:pt>
                <c:pt idx="7">
                  <c:v>0.21939654493084601</c:v>
                </c:pt>
                <c:pt idx="8">
                  <c:v>1.691934565704166</c:v>
                </c:pt>
              </c:numCache>
            </c:numRef>
          </c:val>
          <c:extLst>
            <c:ext xmlns:c16="http://schemas.microsoft.com/office/drawing/2014/chart" uri="{C3380CC4-5D6E-409C-BE32-E72D297353CC}">
              <c16:uniqueId val="{00000012-9EFA-4220-A445-4B1B8A3D90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Measured</c:v>
          </c:tx>
          <c:spPr>
            <a:ln w="28575" cap="rnd">
              <a:solidFill>
                <a:sysClr val="windowText" lastClr="000000"/>
              </a:solidFill>
              <a:round/>
            </a:ln>
            <a:effectLst/>
          </c:spPr>
          <c:marker>
            <c:symbol val="circle"/>
            <c:size val="5"/>
            <c:spPr>
              <a:solidFill>
                <a:schemeClr val="tx1"/>
              </a:solidFill>
              <a:ln w="9525">
                <a:solidFill>
                  <a:sysClr val="windowText" lastClr="000000"/>
                </a:solidFill>
              </a:ln>
              <a:effectLst/>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dec2013_15nov!$BE$4:$BE$16</c:f>
              <c:numCache>
                <c:formatCode>General</c:formatCode>
                <c:ptCount val="13"/>
                <c:pt idx="0">
                  <c:v>9.3000000000000007</c:v>
                </c:pt>
                <c:pt idx="1">
                  <c:v>9.4</c:v>
                </c:pt>
                <c:pt idx="2">
                  <c:v>11.433</c:v>
                </c:pt>
                <c:pt idx="3">
                  <c:v>26.3</c:v>
                </c:pt>
                <c:pt idx="4">
                  <c:v>40.299999999999997</c:v>
                </c:pt>
                <c:pt idx="5">
                  <c:v>54.5</c:v>
                </c:pt>
                <c:pt idx="6">
                  <c:v>66.5</c:v>
                </c:pt>
                <c:pt idx="7">
                  <c:v>69</c:v>
                </c:pt>
                <c:pt idx="8">
                  <c:v>50.1</c:v>
                </c:pt>
                <c:pt idx="9">
                  <c:v>46.5</c:v>
                </c:pt>
                <c:pt idx="10">
                  <c:v>42.8</c:v>
                </c:pt>
                <c:pt idx="11">
                  <c:v>38.200000000000003</c:v>
                </c:pt>
                <c:pt idx="12">
                  <c:v>8.3000000000000007</c:v>
                </c:pt>
              </c:numCache>
            </c:numRef>
          </c:val>
          <c:smooth val="0"/>
          <c:extLst>
            <c:ext xmlns:c16="http://schemas.microsoft.com/office/drawing/2014/chart" uri="{C3380CC4-5D6E-409C-BE32-E72D297353CC}">
              <c16:uniqueId val="{00000000-4E5D-4721-B748-286AF23C5BBC}"/>
            </c:ext>
          </c:extLst>
        </c:ser>
        <c:ser>
          <c:idx val="1"/>
          <c:order val="1"/>
          <c:tx>
            <c:v>Modeled</c:v>
          </c:tx>
          <c:spPr>
            <a:ln w="28575" cap="rnd">
              <a:solidFill>
                <a:sysClr val="windowText" lastClr="000000"/>
              </a:solidFill>
              <a:prstDash val="dash"/>
              <a:round/>
            </a:ln>
            <a:effectLst/>
          </c:spPr>
          <c:marker>
            <c:symbol val="circle"/>
            <c:size val="5"/>
            <c:spPr>
              <a:solidFill>
                <a:schemeClr val="tx1"/>
              </a:solidFill>
              <a:ln w="9525">
                <a:solidFill>
                  <a:sysClr val="windowText" lastClr="000000"/>
                </a:solidFill>
                <a:prstDash val="dash"/>
              </a:ln>
              <a:effectLst/>
            </c:spPr>
          </c:marker>
          <c:cat>
            <c:multiLvlStrRef>
              <c:f>dec2013_15nov!$AZ$4:$BA$17</c:f>
              <c:multiLvlStrCache>
                <c:ptCount val="14"/>
                <c:lvl>
                  <c:pt idx="0">
                    <c:v>7</c:v>
                  </c:pt>
                  <c:pt idx="1">
                    <c:v>8</c:v>
                  </c:pt>
                  <c:pt idx="2">
                    <c:v>9*</c:v>
                  </c:pt>
                  <c:pt idx="3">
                    <c:v>10</c:v>
                  </c:pt>
                  <c:pt idx="4">
                    <c:v>11</c:v>
                  </c:pt>
                  <c:pt idx="5">
                    <c:v>12</c:v>
                  </c:pt>
                  <c:pt idx="6">
                    <c:v>13</c:v>
                  </c:pt>
                  <c:pt idx="7">
                    <c:v>14</c:v>
                  </c:pt>
                  <c:pt idx="8">
                    <c:v>15</c:v>
                  </c:pt>
                  <c:pt idx="9">
                    <c:v>16</c:v>
                  </c:pt>
                  <c:pt idx="10">
                    <c:v>17</c:v>
                  </c:pt>
                  <c:pt idx="11">
                    <c:v>18</c:v>
                  </c:pt>
                  <c:pt idx="12">
                    <c:v>19</c:v>
                  </c:pt>
                  <c:pt idx="13">
                    <c:v>20</c:v>
                  </c:pt>
                </c:lvl>
                <c:lvl>
                  <c:pt idx="0">
                    <c:v>December 2013</c:v>
                  </c:pt>
                </c:lvl>
              </c:multiLvlStrCache>
            </c:multiLvlStrRef>
          </c:cat>
          <c:val>
            <c:numRef>
              <c:f>dec2013_15nov!$BE$24:$BE$36</c:f>
              <c:numCache>
                <c:formatCode>0.0</c:formatCode>
                <c:ptCount val="13"/>
                <c:pt idx="0">
                  <c:v>10.76464912309833</c:v>
                </c:pt>
                <c:pt idx="1">
                  <c:v>13.808297233645829</c:v>
                </c:pt>
                <c:pt idx="2">
                  <c:v>10.08323559270667</c:v>
                </c:pt>
                <c:pt idx="3">
                  <c:v>12.978339098339999</c:v>
                </c:pt>
                <c:pt idx="4">
                  <c:v>28.345849466270831</c:v>
                </c:pt>
                <c:pt idx="5">
                  <c:v>26.626129832024979</c:v>
                </c:pt>
                <c:pt idx="6">
                  <c:v>37.101427745445832</c:v>
                </c:pt>
                <c:pt idx="7">
                  <c:v>32.304413916725011</c:v>
                </c:pt>
                <c:pt idx="8">
                  <c:v>22.899979056695841</c:v>
                </c:pt>
                <c:pt idx="9">
                  <c:v>22.016133005037499</c:v>
                </c:pt>
                <c:pt idx="10">
                  <c:v>25.37476464931251</c:v>
                </c:pt>
                <c:pt idx="11">
                  <c:v>12.857861797662499</c:v>
                </c:pt>
                <c:pt idx="12">
                  <c:v>11.50962638820333</c:v>
                </c:pt>
              </c:numCache>
            </c:numRef>
          </c:val>
          <c:smooth val="0"/>
          <c:extLst>
            <c:ext xmlns:c16="http://schemas.microsoft.com/office/drawing/2014/chart" uri="{C3380CC4-5D6E-409C-BE32-E72D297353CC}">
              <c16:uniqueId val="{00000001-4E5D-4721-B748-286AF23C5BBC}"/>
            </c:ext>
          </c:extLst>
        </c:ser>
        <c:dLbls>
          <c:showLegendKey val="0"/>
          <c:showVal val="0"/>
          <c:showCatName val="0"/>
          <c:showSerName val="0"/>
          <c:showPercent val="0"/>
          <c:showBubbleSize val="0"/>
        </c:dLbls>
        <c:marker val="1"/>
        <c:smooth val="0"/>
        <c:axId val="-2128597072"/>
        <c:axId val="-2128334880"/>
      </c:lineChart>
      <c:catAx>
        <c:axId val="-2128597072"/>
        <c:scaling>
          <c:orientation val="minMax"/>
        </c:scaling>
        <c:delete val="0"/>
        <c:axPos val="b"/>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334880"/>
        <c:crosses val="autoZero"/>
        <c:auto val="1"/>
        <c:lblAlgn val="ctr"/>
        <c:lblOffset val="100"/>
        <c:noMultiLvlLbl val="0"/>
      </c:catAx>
      <c:valAx>
        <c:axId val="-21283348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a:t>
                </a:r>
                <a:r>
                  <a:rPr lang="en-US" sz="900" baseline="0"/>
                  <a:t> (ug/m3)</a:t>
                </a:r>
                <a:endParaRPr lang="en-US" sz="900"/>
              </a:p>
            </c:rich>
          </c:tx>
          <c:layout>
            <c:manualLayout>
              <c:xMode val="edge"/>
              <c:yMode val="edge"/>
              <c:x val="2.5000000000000001E-2"/>
              <c:y val="0.226690361621464"/>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59707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December</a:t>
            </a:r>
            <a:r>
              <a:rPr lang="en-US" sz="1000" baseline="0"/>
              <a:t> 12 2013</a:t>
            </a:r>
          </a:p>
          <a:p>
            <a:pPr>
              <a:defRPr sz="1000"/>
            </a:pPr>
            <a:r>
              <a:rPr lang="en-US" sz="1000" baseline="0"/>
              <a:t>PM2.5 measured = 45.9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0743727598566"/>
          <c:y val="0.25999261089431303"/>
          <c:w val="0.85259856630824404"/>
          <c:h val="0.55806451612903196"/>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A99-4B90-9F56-A22F55401C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A99-4B90-9F56-A22F55401C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A99-4B90-9F56-A22F55401C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A99-4B90-9F56-A22F55401C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A99-4B90-9F56-A22F55401C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A99-4B90-9F56-A22F55401C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A99-4B90-9F56-A22F55401C07}"/>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A99-4B90-9F56-A22F55401C07}"/>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A99-4B90-9F56-A22F55401C07}"/>
              </c:ext>
            </c:extLst>
          </c:dPt>
          <c:dLbls>
            <c:dLbl>
              <c:idx val="4"/>
              <c:layout>
                <c:manualLayout>
                  <c:x val="7.0901419580616902E-3"/>
                  <c:y val="7.5617105779666096E-3"/>
                </c:manualLayout>
              </c:layout>
              <c:showLegendKey val="0"/>
              <c:showVal val="1"/>
              <c:showCatName val="1"/>
              <c:showSerName val="0"/>
              <c:showPercent val="1"/>
              <c:showBubbleSize val="0"/>
              <c:extLst>
                <c:ext xmlns:c15="http://schemas.microsoft.com/office/drawing/2012/chart" uri="{CE6537A1-D6FC-4f65-9D91-7224C49458BB}">
                  <c15:layout>
                    <c:manualLayout>
                      <c:w val="0.279906090367736"/>
                      <c:h val="0.107302052785924"/>
                    </c:manualLayout>
                  </c15:layout>
                </c:ext>
                <c:ext xmlns:c16="http://schemas.microsoft.com/office/drawing/2014/chart" uri="{C3380CC4-5D6E-409C-BE32-E72D297353CC}">
                  <c16:uniqueId val="{00000009-DA99-4B90-9F56-A22F55401C07}"/>
                </c:ext>
              </c:extLst>
            </c:dLbl>
            <c:dLbl>
              <c:idx val="5"/>
              <c:tx>
                <c:rich>
                  <a:bodyPr/>
                  <a:lstStyle/>
                  <a:p>
                    <a:r>
                      <a:rPr lang="en-US" baseline="0"/>
                      <a:t>Crustal Material, </a:t>
                    </a:r>
                    <a:fld id="{3375F50A-6D96-0641-924A-9FC3817C9841}" type="VALUE">
                      <a:rPr lang="en-US" baseline="0"/>
                      <a:pPr/>
                      <a:t>[VALUE]</a:t>
                    </a:fld>
                    <a:r>
                      <a:rPr lang="en-US" baseline="0"/>
                      <a:t>, </a:t>
                    </a:r>
                    <a:fld id="{A1FFDA3E-2E09-7F4F-913C-99A897F58057}" type="PERCENTAGE">
                      <a:rPr lang="en-US" baseline="0"/>
                      <a:pPr/>
                      <a:t>[PERCENTAGE]</a:t>
                    </a:fld>
                    <a:endParaRPr lang="en-US" baseline="0"/>
                  </a:p>
                </c:rich>
              </c:tx>
              <c:showLegendKey val="0"/>
              <c:showVal val="1"/>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DA99-4B90-9F56-A22F55401C07}"/>
                </c:ext>
              </c:extLst>
            </c:dLbl>
            <c:dLbl>
              <c:idx val="6"/>
              <c:layout>
                <c:manualLayout>
                  <c:x val="4.8924731182795701E-2"/>
                  <c:y val="-0.26075876879026499"/>
                </c:manualLayout>
              </c:layout>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DA99-4B90-9F56-A22F55401C07}"/>
                </c:ext>
              </c:extLst>
            </c:dLbl>
            <c:dLbl>
              <c:idx val="7"/>
              <c:layout>
                <c:manualLayout>
                  <c:x val="0.28491413371715602"/>
                  <c:y val="-0.17836354399981499"/>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DA99-4B90-9F56-A22F55401C07}"/>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[dec2013_11nov.xlsx]dec2013_11nov!$CD$3:$CL$3</c:f>
              <c:strCache>
                <c:ptCount val="9"/>
                <c:pt idx="0">
                  <c:v>NO3</c:v>
                </c:pt>
                <c:pt idx="1">
                  <c:v>NH4</c:v>
                </c:pt>
                <c:pt idx="2">
                  <c:v>SO4</c:v>
                </c:pt>
                <c:pt idx="3">
                  <c:v>OC</c:v>
                </c:pt>
                <c:pt idx="4">
                  <c:v>EC</c:v>
                </c:pt>
                <c:pt idx="5">
                  <c:v>CM</c:v>
                </c:pt>
                <c:pt idx="6">
                  <c:v>Na</c:v>
                </c:pt>
                <c:pt idx="7">
                  <c:v>Cl </c:v>
                </c:pt>
                <c:pt idx="8">
                  <c:v>Other Mass</c:v>
                </c:pt>
              </c:strCache>
            </c:strRef>
          </c:cat>
          <c:val>
            <c:numRef>
              <c:f>[dec2013_11nov.xlsx]dec2013_11nov!$CD$16:$CL$16</c:f>
              <c:numCache>
                <c:formatCode>0.0</c:formatCode>
                <c:ptCount val="9"/>
                <c:pt idx="0">
                  <c:v>22.4</c:v>
                </c:pt>
                <c:pt idx="1">
                  <c:v>6.76</c:v>
                </c:pt>
                <c:pt idx="2">
                  <c:v>1.01</c:v>
                </c:pt>
                <c:pt idx="3">
                  <c:v>4.5299999999999976</c:v>
                </c:pt>
                <c:pt idx="4">
                  <c:v>1.96</c:v>
                </c:pt>
                <c:pt idx="5">
                  <c:v>0.85401780000000005</c:v>
                </c:pt>
                <c:pt idx="6">
                  <c:v>5.8900000000000001E-2</c:v>
                </c:pt>
                <c:pt idx="7">
                  <c:v>0.71599999999999997</c:v>
                </c:pt>
                <c:pt idx="8">
                  <c:v>7.6110821999999967</c:v>
                </c:pt>
              </c:numCache>
            </c:numRef>
          </c:val>
          <c:extLst>
            <c:ext xmlns:c16="http://schemas.microsoft.com/office/drawing/2014/chart" uri="{C3380CC4-5D6E-409C-BE32-E72D297353CC}">
              <c16:uniqueId val="{00000012-DA99-4B90-9F56-A22F55401C0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December 12 2013</a:t>
            </a:r>
          </a:p>
          <a:p>
            <a:pPr>
              <a:defRPr sz="1000"/>
            </a:pPr>
            <a:r>
              <a:rPr lang="en-US" sz="1000"/>
              <a:t>PM2.5 modeled = 33 ug/m3</a:t>
            </a:r>
          </a:p>
        </c:rich>
      </c:tx>
      <c:layout>
        <c:manualLayout>
          <c:xMode val="edge"/>
          <c:yMode val="edge"/>
          <c:x val="0.21421733741615601"/>
          <c:y val="7.8984485190409001E-2"/>
        </c:manualLayout>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2268518518518499"/>
          <c:y val="0.25545128438634901"/>
          <c:w val="0.87731481481481499"/>
          <c:h val="0.54160789844851898"/>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D83-4726-B448-87524C82104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D83-4726-B448-87524C82104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D83-4726-B448-87524C82104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D83-4726-B448-87524C82104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D83-4726-B448-87524C82104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D83-4726-B448-87524C82104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7D83-4726-B448-87524C82104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7D83-4726-B448-87524C82104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7D83-4726-B448-87524C82104D}"/>
              </c:ext>
            </c:extLst>
          </c:dPt>
          <c:dLbls>
            <c:dLbl>
              <c:idx val="0"/>
              <c:layout>
                <c:manualLayout>
                  <c:x val="-5.32407407407407E-2"/>
                  <c:y val="0.13780949102095699"/>
                </c:manualLayout>
              </c:layout>
              <c:showLegendKey val="0"/>
              <c:showVal val="1"/>
              <c:showCatName val="1"/>
              <c:showSerName val="0"/>
              <c:showPercent val="1"/>
              <c:showBubbleSize val="0"/>
              <c:extLst>
                <c:ext xmlns:c15="http://schemas.microsoft.com/office/drawing/2012/chart" uri="{CE6537A1-D6FC-4f65-9D91-7224C49458BB}">
                  <c15:layout>
                    <c:manualLayout>
                      <c:w val="0.33333333333333298"/>
                      <c:h val="0.138222849083216"/>
                    </c:manualLayout>
                  </c15:layout>
                </c:ext>
                <c:ext xmlns:c16="http://schemas.microsoft.com/office/drawing/2014/chart" uri="{C3380CC4-5D6E-409C-BE32-E72D297353CC}">
                  <c16:uniqueId val="{00000001-7D83-4726-B448-87524C82104D}"/>
                </c:ext>
              </c:extLst>
            </c:dLbl>
            <c:dLbl>
              <c:idx val="5"/>
              <c:layout>
                <c:manualLayout>
                  <c:x val="4.6296296296296301E-2"/>
                  <c:y val="0.191761713847828"/>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7037037037037002"/>
                      <c:h val="0.124118476727786"/>
                    </c:manualLayout>
                  </c15:layout>
                </c:ext>
                <c:ext xmlns:c16="http://schemas.microsoft.com/office/drawing/2014/chart" uri="{C3380CC4-5D6E-409C-BE32-E72D297353CC}">
                  <c16:uniqueId val="{0000000B-7D83-4726-B448-87524C82104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[dec2013_15nov.xlsx]dec2013_15nov!$CC$1:$CK$1</c:f>
              <c:strCache>
                <c:ptCount val="9"/>
                <c:pt idx="0">
                  <c:v>NO3</c:v>
                </c:pt>
                <c:pt idx="1">
                  <c:v>NH4</c:v>
                </c:pt>
                <c:pt idx="2">
                  <c:v>SO4</c:v>
                </c:pt>
                <c:pt idx="3">
                  <c:v>OC</c:v>
                </c:pt>
                <c:pt idx="4">
                  <c:v>EC</c:v>
                </c:pt>
                <c:pt idx="5">
                  <c:v>Crustal Material</c:v>
                </c:pt>
                <c:pt idx="6">
                  <c:v>Na</c:v>
                </c:pt>
                <c:pt idx="7">
                  <c:v>Cl </c:v>
                </c:pt>
                <c:pt idx="8">
                  <c:v>Other Mass</c:v>
                </c:pt>
              </c:strCache>
            </c:strRef>
          </c:cat>
          <c:val>
            <c:numRef>
              <c:f>[dec2013_15nov.xlsx]dec2013_15nov!$CC$15:$CK$15</c:f>
              <c:numCache>
                <c:formatCode>0.0</c:formatCode>
                <c:ptCount val="9"/>
                <c:pt idx="0">
                  <c:v>10.698118090632089</c:v>
                </c:pt>
                <c:pt idx="1">
                  <c:v>3.451173166434168</c:v>
                </c:pt>
                <c:pt idx="2">
                  <c:v>1.0143110429251669</c:v>
                </c:pt>
                <c:pt idx="3">
                  <c:v>3.201966818526337</c:v>
                </c:pt>
                <c:pt idx="4">
                  <c:v>2.1368172317737502</c:v>
                </c:pt>
                <c:pt idx="5">
                  <c:v>2.852326691150834</c:v>
                </c:pt>
                <c:pt idx="6">
                  <c:v>3.7934655478837502E-2</c:v>
                </c:pt>
                <c:pt idx="7">
                  <c:v>5.8922136920396703E-2</c:v>
                </c:pt>
                <c:pt idx="8">
                  <c:v>9.5784936352361036</c:v>
                </c:pt>
              </c:numCache>
            </c:numRef>
          </c:val>
          <c:extLst>
            <c:ext xmlns:c16="http://schemas.microsoft.com/office/drawing/2014/chart" uri="{C3380CC4-5D6E-409C-BE32-E72D297353CC}">
              <c16:uniqueId val="{00000012-7D83-4726-B448-87524C82104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v>Modeled</c:v>
          </c:tx>
          <c:spPr>
            <a:ln w="19050" cap="rnd">
              <a:solidFill>
                <a:schemeClr val="tx1"/>
              </a:solidFill>
              <a:prstDash val="dash"/>
              <a:round/>
            </a:ln>
            <a:effectLst/>
          </c:spPr>
          <c:marker>
            <c:symbol val="circle"/>
            <c:size val="5"/>
            <c:spPr>
              <a:solidFill>
                <a:schemeClr val="tx1"/>
              </a:solidFill>
              <a:ln w="9525">
                <a:solidFill>
                  <a:schemeClr val="tx1"/>
                </a:solidFill>
                <a:prstDash val="dash"/>
              </a:ln>
              <a:effectLst/>
            </c:spPr>
          </c:marker>
          <c:cat>
            <c:multiLvlStrRef>
              <c:f>[feb2016NH3Inj3.xlsx]feb2016NH3Inj3!$CJ$3:$CK$18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[feb2016NH3Inj3.xlsx]feb2016NH3Inj3!$CM$3:$CM$18</c:f>
              <c:numCache>
                <c:formatCode>0.00</c:formatCode>
                <c:ptCount val="16"/>
                <c:pt idx="0">
                  <c:v>7.9816778213287467</c:v>
                </c:pt>
                <c:pt idx="1">
                  <c:v>10.085586580275001</c:v>
                </c:pt>
                <c:pt idx="2">
                  <c:v>11.309916491113331</c:v>
                </c:pt>
                <c:pt idx="3">
                  <c:v>9.6014107899054171</c:v>
                </c:pt>
                <c:pt idx="4">
                  <c:v>14.48031818280125</c:v>
                </c:pt>
                <c:pt idx="5">
                  <c:v>17.503314330395821</c:v>
                </c:pt>
                <c:pt idx="6">
                  <c:v>23.86068458919582</c:v>
                </c:pt>
                <c:pt idx="7">
                  <c:v>35.784875417554147</c:v>
                </c:pt>
                <c:pt idx="8">
                  <c:v>39.729287627029173</c:v>
                </c:pt>
                <c:pt idx="9">
                  <c:v>75.613556741329162</c:v>
                </c:pt>
                <c:pt idx="10">
                  <c:v>68.605634443929148</c:v>
                </c:pt>
                <c:pt idx="11">
                  <c:v>36.97938669592083</c:v>
                </c:pt>
                <c:pt idx="12">
                  <c:v>19.31800337755833</c:v>
                </c:pt>
                <c:pt idx="13">
                  <c:v>17.479932700105419</c:v>
                </c:pt>
                <c:pt idx="14">
                  <c:v>9.6181224661874865</c:v>
                </c:pt>
                <c:pt idx="15">
                  <c:v>11.71879477064706</c:v>
                </c:pt>
              </c:numCache>
            </c:numRef>
          </c:val>
          <c:smooth val="1"/>
          <c:extLst>
            <c:ext xmlns:c16="http://schemas.microsoft.com/office/drawing/2014/chart" uri="{C3380CC4-5D6E-409C-BE32-E72D297353CC}">
              <c16:uniqueId val="{00000000-8655-4307-891B-B979C0CED4CF}"/>
            </c:ext>
          </c:extLst>
        </c:ser>
        <c:ser>
          <c:idx val="1"/>
          <c:order val="1"/>
          <c:tx>
            <c:v>Measured</c:v>
          </c:tx>
          <c:spPr>
            <a:ln w="19050" cap="rnd">
              <a:solidFill>
                <a:schemeClr val="tx1"/>
              </a:solidFill>
              <a:prstDash val="solid"/>
              <a:round/>
            </a:ln>
            <a:effectLst/>
          </c:spPr>
          <c:marker>
            <c:symbol val="circle"/>
            <c:size val="5"/>
            <c:spPr>
              <a:solidFill>
                <a:schemeClr val="tx1"/>
              </a:solidFill>
              <a:ln w="9525">
                <a:solidFill>
                  <a:schemeClr val="tx1"/>
                </a:solidFill>
                <a:prstDash val="solid"/>
              </a:ln>
              <a:effectLst/>
            </c:spPr>
          </c:marker>
          <c:cat>
            <c:multiLvlStrRef>
              <c:f>[feb2016NH3Inj3.xlsx]feb2016NH3Inj3!$CJ$3:$CK$18</c:f>
              <c:multiLvlStrCache>
                <c:ptCount val="16"/>
                <c:lvl>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lvl>
                <c:lvl>
                  <c:pt idx="0">
                    <c:v>Feb. 2016</c:v>
                  </c:pt>
                </c:lvl>
              </c:multiLvlStrCache>
            </c:multiLvlStrRef>
          </c:cat>
          <c:val>
            <c:numRef>
              <c:f>[feb2016NH3Inj3.xlsx]feb2016NH3Inj3!$CL$3:$CL$18</c:f>
              <c:numCache>
                <c:formatCode>General</c:formatCode>
                <c:ptCount val="16"/>
                <c:pt idx="4" formatCode="0">
                  <c:v>19.012499999999999</c:v>
                </c:pt>
                <c:pt idx="5" formatCode="0">
                  <c:v>20.987500000000001</c:v>
                </c:pt>
                <c:pt idx="6" formatCode="0">
                  <c:v>24.766666666666669</c:v>
                </c:pt>
                <c:pt idx="7" formatCode="0">
                  <c:v>30.237500000000001</c:v>
                </c:pt>
                <c:pt idx="8" formatCode="0">
                  <c:v>38.1</c:v>
                </c:pt>
                <c:pt idx="9" formatCode="0">
                  <c:v>34.987499999999997</c:v>
                </c:pt>
                <c:pt idx="10" formatCode="0">
                  <c:v>36.816666666666492</c:v>
                </c:pt>
                <c:pt idx="11" formatCode="0">
                  <c:v>35.50833333333334</c:v>
                </c:pt>
                <c:pt idx="12" formatCode="0">
                  <c:v>36.712499999999999</c:v>
                </c:pt>
                <c:pt idx="13" formatCode="0">
                  <c:v>52.858333333333341</c:v>
                </c:pt>
                <c:pt idx="14" formatCode="0">
                  <c:v>41.004166666666542</c:v>
                </c:pt>
                <c:pt idx="15" formatCode="0">
                  <c:v>16.12916666666667</c:v>
                </c:pt>
              </c:numCache>
            </c:numRef>
          </c:val>
          <c:smooth val="0"/>
          <c:extLst>
            <c:ext xmlns:c16="http://schemas.microsoft.com/office/drawing/2014/chart" uri="{C3380CC4-5D6E-409C-BE32-E72D297353CC}">
              <c16:uniqueId val="{00000001-8655-4307-891B-B979C0CED4CF}"/>
            </c:ext>
          </c:extLst>
        </c:ser>
        <c:dLbls>
          <c:showLegendKey val="0"/>
          <c:showVal val="0"/>
          <c:showCatName val="0"/>
          <c:showSerName val="0"/>
          <c:showPercent val="0"/>
          <c:showBubbleSize val="0"/>
        </c:dLbls>
        <c:marker val="1"/>
        <c:smooth val="0"/>
        <c:axId val="2111682624"/>
        <c:axId val="2111683984"/>
      </c:lineChart>
      <c:catAx>
        <c:axId val="211168262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683984"/>
        <c:crosses val="autoZero"/>
        <c:auto val="1"/>
        <c:lblAlgn val="ctr"/>
        <c:lblOffset val="100"/>
        <c:noMultiLvlLbl val="0"/>
      </c:catAx>
      <c:valAx>
        <c:axId val="211168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sz="900"/>
                  <a:t>24-hr PM2.5 concentration (ug/m3)</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1168262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February</a:t>
            </a:r>
            <a:r>
              <a:rPr lang="en-US" sz="1000" baseline="0"/>
              <a:t> 12 2016</a:t>
            </a:r>
          </a:p>
          <a:p>
            <a:pPr>
              <a:defRPr sz="1000"/>
            </a:pPr>
            <a:r>
              <a:rPr lang="en-US" sz="1000" baseline="0"/>
              <a:t>PM2.5 Measured = 35.5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90591397849462E-2"/>
          <c:y val="0.286542182227222"/>
          <c:w val="0.88396057347670298"/>
          <c:h val="0.578168498168498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8EA-4C72-9199-1D0312F510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8EA-4C72-9199-1D0312F510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8EA-4C72-9199-1D0312F5101A}"/>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8EA-4C72-9199-1D0312F5101A}"/>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8EA-4C72-9199-1D0312F5101A}"/>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8EA-4C72-9199-1D0312F5101A}"/>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8EA-4C72-9199-1D0312F5101A}"/>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8EA-4C72-9199-1D0312F5101A}"/>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8EA-4C72-9199-1D0312F5101A}"/>
              </c:ext>
            </c:extLst>
          </c:dPt>
          <c:dLbls>
            <c:dLbl>
              <c:idx val="2"/>
              <c:layout>
                <c:manualLayout>
                  <c:x val="4.3404486548556404E-3"/>
                  <c:y val="1.332779556401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34946236559139798"/>
                      <c:h val="0.149450549450549"/>
                    </c:manualLayout>
                  </c15:layout>
                </c:ext>
                <c:ext xmlns:c16="http://schemas.microsoft.com/office/drawing/2014/chart" uri="{C3380CC4-5D6E-409C-BE32-E72D297353CC}">
                  <c16:uniqueId val="{00000005-88EA-4C72-9199-1D0312F5101A}"/>
                </c:ext>
              </c:extLst>
            </c:dLbl>
            <c:dLbl>
              <c:idx val="3"/>
              <c:layout>
                <c:manualLayout>
                  <c:x val="7.0229376569864201E-3"/>
                  <c:y val="2.4593695018891901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88EA-4C72-9199-1D0312F5101A}"/>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88EA-4C72-9199-1D0312F5101A}"/>
                </c:ext>
              </c:extLst>
            </c:dLbl>
            <c:dLbl>
              <c:idx val="7"/>
              <c:layout>
                <c:manualLayout>
                  <c:x val="0.24344272994101501"/>
                  <c:y val="-4.57332064261197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88EA-4C72-9199-1D0312F5101A}"/>
                </c:ext>
              </c:extLst>
            </c:dLbl>
            <c:dLbl>
              <c:idx val="8"/>
              <c:layout>
                <c:manualLayout>
                  <c:x val="0.27404753116797897"/>
                  <c:y val="2.7455568053993198E-2"/>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88EA-4C72-9199-1D0312F5101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[feb2016NH3Inj3.xlsx]feb2016NH3Inj3!$BQ$1:$BY$1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[feb2016NH3Inj3.xlsx]feb2016NH3Inj3!$BQ$18:$BY$18</c:f>
              <c:numCache>
                <c:formatCode>0.0</c:formatCode>
                <c:ptCount val="9"/>
                <c:pt idx="0">
                  <c:v>21.296700000000001</c:v>
                </c:pt>
                <c:pt idx="1">
                  <c:v>5.6745599999999978</c:v>
                </c:pt>
                <c:pt idx="2">
                  <c:v>1.4532400000000001</c:v>
                </c:pt>
                <c:pt idx="3">
                  <c:v>2.8706800000000001</c:v>
                </c:pt>
                <c:pt idx="4">
                  <c:v>1.5546899999999999</c:v>
                </c:pt>
                <c:pt idx="5">
                  <c:v>1.0152460999999999</c:v>
                </c:pt>
                <c:pt idx="6">
                  <c:v>6.4659999999999995E-2</c:v>
                </c:pt>
                <c:pt idx="7">
                  <c:v>0.16520000000000001</c:v>
                </c:pt>
                <c:pt idx="8">
                  <c:v>1.5785572333333351</c:v>
                </c:pt>
              </c:numCache>
            </c:numRef>
          </c:val>
          <c:extLst>
            <c:ext xmlns:c16="http://schemas.microsoft.com/office/drawing/2014/chart" uri="{C3380CC4-5D6E-409C-BE32-E72D297353CC}">
              <c16:uniqueId val="{00000012-88EA-4C72-9199-1D0312F5101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en-US" sz="1000"/>
              <a:t>Lindon</a:t>
            </a:r>
          </a:p>
          <a:p>
            <a:pPr>
              <a:defRPr sz="1000"/>
            </a:pPr>
            <a:r>
              <a:rPr lang="en-US" sz="1000"/>
              <a:t>February</a:t>
            </a:r>
            <a:r>
              <a:rPr lang="en-US" sz="1000" baseline="0"/>
              <a:t> 12 2016</a:t>
            </a:r>
          </a:p>
          <a:p>
            <a:pPr>
              <a:defRPr sz="1000"/>
            </a:pPr>
            <a:r>
              <a:rPr lang="en-US" sz="1000" baseline="0"/>
              <a:t>PM2.5 Modeled = 37.0 ug/m3</a:t>
            </a:r>
            <a:endParaRPr lang="en-US" sz="1000"/>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4.0098566308243697E-2"/>
          <c:y val="0.29533339101842998"/>
          <c:w val="0.88396057347670298"/>
          <c:h val="0.57816849816849802"/>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BD06-4520-9C20-B957D89BF4BD}"/>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BD06-4520-9C20-B957D89BF4BD}"/>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BD06-4520-9C20-B957D89BF4BD}"/>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BD06-4520-9C20-B957D89BF4BD}"/>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BD06-4520-9C20-B957D89BF4BD}"/>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BD06-4520-9C20-B957D89BF4BD}"/>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BD06-4520-9C20-B957D89BF4BD}"/>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BD06-4520-9C20-B957D89BF4BD}"/>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BD06-4520-9C20-B957D89BF4BD}"/>
              </c:ext>
            </c:extLst>
          </c:dPt>
          <c:dLbls>
            <c:dLbl>
              <c:idx val="0"/>
              <c:layout>
                <c:manualLayout>
                  <c:x val="-0.16913082437276"/>
                  <c:y val="6.7314585676790398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5="http://schemas.microsoft.com/office/drawing/2012/chart" uri="{CE6537A1-D6FC-4f65-9D91-7224C49458BB}">
                  <c15:layout>
                    <c:manualLayout>
                      <c:w val="0.19489282589676299"/>
                      <c:h val="0.16117216117216099"/>
                    </c:manualLayout>
                  </c15:layout>
                </c:ext>
                <c:ext xmlns:c16="http://schemas.microsoft.com/office/drawing/2014/chart" uri="{C3380CC4-5D6E-409C-BE32-E72D297353CC}">
                  <c16:uniqueId val="{00000001-BD06-4520-9C20-B957D89BF4BD}"/>
                </c:ext>
              </c:extLst>
            </c:dLbl>
            <c:dLbl>
              <c:idx val="6"/>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D-BD06-4520-9C20-B957D89BF4BD}"/>
                </c:ext>
              </c:extLst>
            </c:dLbl>
            <c:dLbl>
              <c:idx val="7"/>
              <c:numFmt formatCode="0.0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extLst>
                <c:ext xmlns:c16="http://schemas.microsoft.com/office/drawing/2014/chart" uri="{C3380CC4-5D6E-409C-BE32-E72D297353CC}">
                  <c16:uniqueId val="{0000000F-BD06-4520-9C20-B957D89BF4BD}"/>
                </c:ext>
              </c:extLst>
            </c:dLbl>
            <c:dLbl>
              <c:idx val="8"/>
              <c:layout>
                <c:manualLayout>
                  <c:x val="0.16661339711568299"/>
                  <c:y val="0.13984621153125101"/>
                </c:manualLayout>
              </c:layout>
              <c:showLegendKey val="0"/>
              <c:showVal val="1"/>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BD06-4520-9C20-B957D89BF4BD}"/>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[feb2016NH3Inj3.xlsx]feb2016NH3Inj3!$BQ$1:$BY$1</c:f>
              <c:strCache>
                <c:ptCount val="9"/>
                <c:pt idx="0">
                  <c:v>NO3</c:v>
                </c:pt>
                <c:pt idx="1">
                  <c:v>NH4</c:v>
                </c:pt>
                <c:pt idx="2">
                  <c:v>SO4</c:v>
                </c:pt>
                <c:pt idx="3">
                  <c:v>OC</c:v>
                </c:pt>
                <c:pt idx="4">
                  <c:v>EC</c:v>
                </c:pt>
                <c:pt idx="5">
                  <c:v>Crustal Material</c:v>
                </c:pt>
                <c:pt idx="6">
                  <c:v>Na</c:v>
                </c:pt>
                <c:pt idx="7">
                  <c:v>Cl</c:v>
                </c:pt>
                <c:pt idx="8">
                  <c:v>Other Mass</c:v>
                </c:pt>
              </c:strCache>
            </c:strRef>
          </c:cat>
          <c:val>
            <c:numRef>
              <c:f>[feb2016NH3Inj3.xlsx]feb2016NH3Inj3!$BQ$19:$BY$19</c:f>
              <c:numCache>
                <c:formatCode>0.0</c:formatCode>
                <c:ptCount val="9"/>
                <c:pt idx="0">
                  <c:v>15.950619339937081</c:v>
                </c:pt>
                <c:pt idx="1">
                  <c:v>5.0343300203483334</c:v>
                </c:pt>
                <c:pt idx="2">
                  <c:v>1.2641582364840001</c:v>
                </c:pt>
                <c:pt idx="3">
                  <c:v>2.535211861134584</c:v>
                </c:pt>
                <c:pt idx="4">
                  <c:v>4.0721968137904261</c:v>
                </c:pt>
                <c:pt idx="5">
                  <c:v>3.9473571578658331</c:v>
                </c:pt>
                <c:pt idx="6">
                  <c:v>6.26217646834792E-2</c:v>
                </c:pt>
                <c:pt idx="7">
                  <c:v>4.8331257431175799E-2</c:v>
                </c:pt>
                <c:pt idx="8">
                  <c:v>4.064560244245909</c:v>
                </c:pt>
              </c:numCache>
            </c:numRef>
          </c:val>
          <c:extLst>
            <c:ext xmlns:c16="http://schemas.microsoft.com/office/drawing/2014/chart" uri="{C3380CC4-5D6E-409C-BE32-E72D297353CC}">
              <c16:uniqueId val="{00000012-BD06-4520-9C20-B957D89BF4BD}"/>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cdr:x>
      <cdr:y>0</cdr:y>
    </cdr:from>
    <cdr:to>
      <cdr:x>0.15076</cdr:x>
      <cdr:y>0.12663</cdr:y>
    </cdr:to>
    <cdr:sp macro="" textlink="">
      <cdr:nvSpPr>
        <cdr:cNvPr id="2" name="Text Box 6"/>
        <cdr:cNvSpPr txBox="1"/>
      </cdr:nvSpPr>
      <cdr:spPr>
        <a:xfrm xmlns:a="http://schemas.openxmlformats.org/drawingml/2006/main">
          <a:off x="0" y="-5268286"/>
          <a:ext cx="427355" cy="393700"/>
        </a:xfrm>
        <a:prstGeom xmlns:a="http://schemas.openxmlformats.org/drawingml/2006/main" prst="rect">
          <a:avLst/>
        </a:prstGeom>
        <a:noFill xmlns:a="http://schemas.openxmlformats.org/drawingml/2006/main"/>
        <a:ln xmlns:a="http://schemas.openxmlformats.org/drawingml/2006/main" w="6350">
          <a:no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marL="0" marR="0">
            <a:lnSpc>
              <a:spcPct val="115000"/>
            </a:lnSpc>
            <a:spcBef>
              <a:spcPts val="0"/>
            </a:spcBef>
            <a:spcAft>
              <a:spcPts val="1000"/>
            </a:spcAft>
          </a:pPr>
          <a:r>
            <a:rPr lang="en-US" sz="1100" b="1">
              <a:effectLst/>
              <a:latin typeface="Times New Roman" panose="02020603050405020304" pitchFamily="18" charset="0"/>
              <a:ea typeface="Calibri" panose="020F0502020204030204" pitchFamily="34" charset="0"/>
              <a:cs typeface="Times New Roman" panose="02020603050405020304" pitchFamily="18" charset="0"/>
            </a:rPr>
            <a:t>b)</a:t>
          </a:r>
          <a:endParaRPr lang="en-US" sz="1100">
            <a:effectLst/>
            <a:latin typeface="Times New Roman" panose="02020603050405020304" pitchFamily="18" charset="0"/>
            <a:ea typeface="Calibri" panose="020F0502020204030204" pitchFamily="34"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0.05327</cdr:x>
      <cdr:y>0.01162</cdr:y>
    </cdr:from>
    <cdr:to>
      <cdr:x>0.19828</cdr:x>
      <cdr:y>0.06586</cdr:y>
    </cdr:to>
    <cdr:sp macro="" textlink="">
      <cdr:nvSpPr>
        <cdr:cNvPr id="2" name="Text Box 1"/>
        <cdr:cNvSpPr txBox="1"/>
      </cdr:nvSpPr>
      <cdr:spPr>
        <a:xfrm xmlns:a="http://schemas.openxmlformats.org/drawingml/2006/main">
          <a:off x="151002" y="50334"/>
          <a:ext cx="411060" cy="2348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a)</a:t>
          </a:r>
        </a:p>
      </cdr:txBody>
    </cdr:sp>
  </cdr:relSizeAnchor>
</c:userShapes>
</file>

<file path=word/drawings/drawing3.xml><?xml version="1.0" encoding="utf-8"?>
<c:userShapes xmlns:c="http://schemas.openxmlformats.org/drawingml/2006/chart">
  <cdr:relSizeAnchor xmlns:cdr="http://schemas.openxmlformats.org/drawingml/2006/chartDrawing">
    <cdr:from>
      <cdr:x>0.07356</cdr:x>
      <cdr:y>0.03364</cdr:y>
    </cdr:from>
    <cdr:to>
      <cdr:x>0.22341</cdr:x>
      <cdr:y>0.08944</cdr:y>
    </cdr:to>
    <cdr:sp macro="" textlink="">
      <cdr:nvSpPr>
        <cdr:cNvPr id="2" name="Text Box 1"/>
        <cdr:cNvSpPr txBox="1"/>
      </cdr:nvSpPr>
      <cdr:spPr>
        <a:xfrm xmlns:a="http://schemas.openxmlformats.org/drawingml/2006/main">
          <a:off x="201802" y="151467"/>
          <a:ext cx="411060" cy="2512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b)</a:t>
          </a:r>
        </a:p>
      </cdr:txBody>
    </cdr:sp>
  </cdr:relSizeAnchor>
</c:userShapes>
</file>

<file path=word/drawings/drawing4.xml><?xml version="1.0" encoding="utf-8"?>
<c:userShapes xmlns:c="http://schemas.openxmlformats.org/drawingml/2006/chart">
  <cdr:relSizeAnchor xmlns:cdr="http://schemas.openxmlformats.org/drawingml/2006/chartDrawing">
    <cdr:from>
      <cdr:x>0.03154</cdr:x>
      <cdr:y>0.01742</cdr:y>
    </cdr:from>
    <cdr:to>
      <cdr:x>0.16342</cdr:x>
      <cdr:y>0.06968</cdr:y>
    </cdr:to>
    <cdr:sp macro="" textlink="">
      <cdr:nvSpPr>
        <cdr:cNvPr id="2" name="Text Box 1"/>
        <cdr:cNvSpPr txBox="1"/>
      </cdr:nvSpPr>
      <cdr:spPr>
        <a:xfrm xmlns:a="http://schemas.openxmlformats.org/drawingml/2006/main">
          <a:off x="92279" y="75501"/>
          <a:ext cx="385893" cy="22650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a)</a:t>
          </a:r>
        </a:p>
      </cdr:txBody>
    </cdr:sp>
  </cdr:relSizeAnchor>
</c:userShapes>
</file>

<file path=word/drawings/drawing5.xml><?xml version="1.0" encoding="utf-8"?>
<c:userShapes xmlns:c="http://schemas.openxmlformats.org/drawingml/2006/chart">
  <cdr:relSizeAnchor xmlns:cdr="http://schemas.openxmlformats.org/drawingml/2006/chartDrawing">
    <cdr:from>
      <cdr:x>0.05048</cdr:x>
      <cdr:y>0.02914</cdr:y>
    </cdr:from>
    <cdr:to>
      <cdr:x>0.18661</cdr:x>
      <cdr:y>0.08141</cdr:y>
    </cdr:to>
    <cdr:sp macro="" textlink="">
      <cdr:nvSpPr>
        <cdr:cNvPr id="2" name="Text Box 1"/>
        <cdr:cNvSpPr txBox="1"/>
      </cdr:nvSpPr>
      <cdr:spPr>
        <a:xfrm xmlns:a="http://schemas.openxmlformats.org/drawingml/2006/main">
          <a:off x="143079" y="126301"/>
          <a:ext cx="385893" cy="22650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1100" b="1"/>
            <a:t>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2019-08-07T00:00:00</PublishDate>
  <Abstract>State of Utah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208D7C9-1474-48B3-914A-57840905AC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15100</Words>
  <Characters>86074</Characters>
  <Application>Microsoft Office Word</Application>
  <DocSecurity>0</DocSecurity>
  <Lines>717</Lines>
  <Paragraphs>201</Paragraphs>
  <ScaleCrop>false</ScaleCrop>
  <HeadingPairs>
    <vt:vector size="2" baseType="variant">
      <vt:variant>
        <vt:lpstr>Title</vt:lpstr>
      </vt:variant>
      <vt:variant>
        <vt:i4>1</vt:i4>
      </vt:variant>
    </vt:vector>
  </HeadingPairs>
  <TitlesOfParts>
    <vt:vector size="1" baseType="lpstr">
      <vt:lpstr>PM2.5 Maintenance Provisions for Logan, UT-ID</vt:lpstr>
    </vt:vector>
  </TitlesOfParts>
  <Company>Utah State Implementation Plan</Company>
  <LinksUpToDate>false</LinksUpToDate>
  <CharactersWithSpaces>100973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PM2.5 Maintenance Provisions for Logan, UT-ID</dc:title>
  <dc:subject>Section IX.A.28</dc:subject>
  <dc:creator>Utah Department of Environmental Quality Division of Air Quality</dc:creator>
  <cp:lastModifiedBy>Melissa Yazhe</cp:lastModifiedBy>
  <cp:revision>3</cp:revision>
  <cp:lastPrinted>2019-08-23T17:53:00Z</cp:lastPrinted>
  <dcterms:created xsi:type="dcterms:W3CDTF">2019-09-03T18:55:00Z</dcterms:created>
  <dcterms:modified xsi:type="dcterms:W3CDTF">2019-09-03T18:56:00Z</dcterms:modified>
</cp:coreProperties>
</file>